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3F8" w:rsidRPr="00D8615A" w:rsidRDefault="002E2805" w:rsidP="00890664">
      <w:pPr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OS.6220.6.</w:t>
      </w:r>
      <w:r w:rsidR="00A013F8" w:rsidRPr="00D8615A">
        <w:rPr>
          <w:rFonts w:ascii="Times New Roman" w:hAnsi="Times New Roman" w:cs="Times New Roman"/>
        </w:rPr>
        <w:t xml:space="preserve">2024 </w:t>
      </w:r>
      <w:r w:rsidR="00890664">
        <w:rPr>
          <w:rFonts w:ascii="Times New Roman" w:hAnsi="Times New Roman" w:cs="Times New Roman"/>
        </w:rPr>
        <w:tab/>
      </w:r>
      <w:r w:rsidR="00890664">
        <w:rPr>
          <w:rFonts w:ascii="Times New Roman" w:hAnsi="Times New Roman" w:cs="Times New Roman"/>
        </w:rPr>
        <w:tab/>
      </w:r>
      <w:r w:rsidR="00890664">
        <w:rPr>
          <w:rFonts w:ascii="Times New Roman" w:hAnsi="Times New Roman" w:cs="Times New Roman"/>
        </w:rPr>
        <w:tab/>
      </w:r>
      <w:r w:rsidR="00890664">
        <w:rPr>
          <w:rFonts w:ascii="Times New Roman" w:hAnsi="Times New Roman" w:cs="Times New Roman"/>
        </w:rPr>
        <w:tab/>
      </w:r>
      <w:r w:rsidR="00890664">
        <w:rPr>
          <w:rFonts w:ascii="Times New Roman" w:hAnsi="Times New Roman" w:cs="Times New Roman"/>
        </w:rPr>
        <w:tab/>
      </w:r>
      <w:r w:rsidR="00890664">
        <w:rPr>
          <w:rFonts w:ascii="Times New Roman" w:hAnsi="Times New Roman" w:cs="Times New Roman"/>
        </w:rPr>
        <w:tab/>
      </w:r>
      <w:r w:rsidR="00890664">
        <w:rPr>
          <w:rFonts w:ascii="Times New Roman" w:hAnsi="Times New Roman" w:cs="Times New Roman"/>
        </w:rPr>
        <w:tab/>
      </w:r>
      <w:r w:rsidR="00344EF0" w:rsidRPr="00D8615A">
        <w:rPr>
          <w:rFonts w:ascii="Times New Roman" w:hAnsi="Times New Roman" w:cs="Times New Roman"/>
        </w:rPr>
        <w:t>Borzytuchom 07</w:t>
      </w:r>
      <w:r w:rsidR="00A013F8" w:rsidRPr="00D8615A">
        <w:rPr>
          <w:rFonts w:ascii="Times New Roman" w:hAnsi="Times New Roman" w:cs="Times New Roman"/>
        </w:rPr>
        <w:t>.11.2024r.</w:t>
      </w:r>
    </w:p>
    <w:p w:rsidR="00A013F8" w:rsidRDefault="00A013F8" w:rsidP="00A013F8">
      <w:pPr>
        <w:jc w:val="right"/>
      </w:pPr>
    </w:p>
    <w:p w:rsidR="00A013F8" w:rsidRPr="00D8615A" w:rsidRDefault="00A013F8" w:rsidP="00A013F8">
      <w:pPr>
        <w:jc w:val="center"/>
        <w:rPr>
          <w:rFonts w:ascii="Times New Roman" w:hAnsi="Times New Roman" w:cs="Times New Roman"/>
          <w:b/>
        </w:rPr>
      </w:pPr>
      <w:r w:rsidRPr="00D8615A">
        <w:rPr>
          <w:rFonts w:ascii="Times New Roman" w:hAnsi="Times New Roman" w:cs="Times New Roman"/>
          <w:b/>
        </w:rPr>
        <w:t>POSTANOWIENIE</w:t>
      </w:r>
    </w:p>
    <w:p w:rsidR="00A013F8" w:rsidRPr="00D8615A" w:rsidRDefault="00A013F8" w:rsidP="00D8615A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Na podstawie:</w:t>
      </w:r>
    </w:p>
    <w:p w:rsidR="00A013F8" w:rsidRPr="00D8615A" w:rsidRDefault="00A013F8" w:rsidP="00D8615A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- art. 123 ustawy z dnia 14 czerwca 1960 r. Kodeks postępowania administracyjnego </w:t>
      </w:r>
      <w:r w:rsidRPr="00D8615A">
        <w:rPr>
          <w:rFonts w:ascii="Times New Roman" w:hAnsi="Times New Roman" w:cs="Times New Roman"/>
          <w:i/>
        </w:rPr>
        <w:t>(</w:t>
      </w:r>
      <w:proofErr w:type="spellStart"/>
      <w:r w:rsidRPr="00D8615A">
        <w:rPr>
          <w:rFonts w:ascii="Times New Roman" w:hAnsi="Times New Roman" w:cs="Times New Roman"/>
          <w:i/>
        </w:rPr>
        <w:t>t.j</w:t>
      </w:r>
      <w:proofErr w:type="spellEnd"/>
      <w:r w:rsidRPr="00D8615A">
        <w:rPr>
          <w:rFonts w:ascii="Times New Roman" w:hAnsi="Times New Roman" w:cs="Times New Roman"/>
          <w:i/>
        </w:rPr>
        <w:t>. Dz.U. z 2024r. poz.572)</w:t>
      </w:r>
      <w:r w:rsidRPr="00D8615A">
        <w:rPr>
          <w:rFonts w:ascii="Times New Roman" w:hAnsi="Times New Roman" w:cs="Times New Roman"/>
        </w:rPr>
        <w:t>, dalej KPA,</w:t>
      </w:r>
    </w:p>
    <w:p w:rsidR="00A013F8" w:rsidRPr="00D8615A" w:rsidRDefault="00A013F8" w:rsidP="00D8615A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- art. 64 ust. 1 pkt. 1, ust. 3 ustawy z dnia 3 października 2008 r., o udostępnieniu informacji o środowisku i jego ochronie, udziale społeczeństwa w ochronie środowiska oraz o ocenach oddziaływania na środowisko </w:t>
      </w:r>
      <w:r w:rsidRPr="00D8615A">
        <w:rPr>
          <w:rFonts w:ascii="Times New Roman" w:hAnsi="Times New Roman" w:cs="Times New Roman"/>
          <w:i/>
        </w:rPr>
        <w:t>(Dz.U. z 2023r., poz.1094</w:t>
      </w:r>
      <w:r w:rsidRPr="00D8615A">
        <w:rPr>
          <w:rFonts w:ascii="Times New Roman" w:hAnsi="Times New Roman" w:cs="Times New Roman"/>
        </w:rPr>
        <w:t>), dalej ustawa ooś,</w:t>
      </w:r>
    </w:p>
    <w:p w:rsidR="00A013F8" w:rsidRPr="00D8615A" w:rsidRDefault="00A013F8" w:rsidP="00D8615A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- § 3 ust. 1 pkt 55 b rozporządzenia Rady Ministrów z dnia 10 września 2019r., w sprawie przedsięwzięć mogących znacząco oddziaływać na środowisko </w:t>
      </w:r>
      <w:r w:rsidRPr="00D8615A">
        <w:rPr>
          <w:rFonts w:ascii="Times New Roman" w:hAnsi="Times New Roman" w:cs="Times New Roman"/>
          <w:i/>
        </w:rPr>
        <w:t xml:space="preserve">(Dz.U. z 2019r., poz. 1893 ze zm.), </w:t>
      </w:r>
      <w:r w:rsidR="00646117" w:rsidRPr="00D8615A">
        <w:rPr>
          <w:rFonts w:ascii="Times New Roman" w:hAnsi="Times New Roman" w:cs="Times New Roman"/>
        </w:rPr>
        <w:t>po zasięgnięciu opinii:</w:t>
      </w:r>
    </w:p>
    <w:p w:rsidR="00646117" w:rsidRPr="00D8615A" w:rsidRDefault="00646117" w:rsidP="00A013F8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ab/>
        <w:t>- Regionalnego Dyrekt</w:t>
      </w:r>
      <w:r w:rsidR="002A66E8" w:rsidRPr="00D8615A">
        <w:rPr>
          <w:rFonts w:ascii="Times New Roman" w:hAnsi="Times New Roman" w:cs="Times New Roman"/>
        </w:rPr>
        <w:t>ora Ochrony Śr</w:t>
      </w:r>
      <w:r w:rsidR="00344EF0" w:rsidRPr="00D8615A">
        <w:rPr>
          <w:rFonts w:ascii="Times New Roman" w:hAnsi="Times New Roman" w:cs="Times New Roman"/>
        </w:rPr>
        <w:t>o</w:t>
      </w:r>
      <w:r w:rsidRPr="00D8615A">
        <w:rPr>
          <w:rFonts w:ascii="Times New Roman" w:hAnsi="Times New Roman" w:cs="Times New Roman"/>
        </w:rPr>
        <w:t>dowiska w Gdańsku</w:t>
      </w:r>
    </w:p>
    <w:p w:rsidR="00646117" w:rsidRPr="00D8615A" w:rsidRDefault="00646117" w:rsidP="00A013F8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ab/>
        <w:t>znak RDOŚ-Gd-WOO.4220.489.2024.MC.6 z dnia 29.10.2024r. (data wpływu 04.11.2024r.),</w:t>
      </w:r>
    </w:p>
    <w:p w:rsidR="00646117" w:rsidRPr="00D8615A" w:rsidRDefault="00646117" w:rsidP="00A013F8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ab/>
        <w:t>- Państwowego Powiatowego Inspektora Sanitarnego w Bytowie,</w:t>
      </w:r>
    </w:p>
    <w:p w:rsidR="00646117" w:rsidRPr="00D8615A" w:rsidRDefault="00646117" w:rsidP="00A013F8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ab/>
        <w:t>znak ZNS.9022.5.46.2024.AK z dnia 05.08.2024r. (data wpływu 06.08.2024r.),</w:t>
      </w:r>
    </w:p>
    <w:p w:rsidR="00646117" w:rsidRPr="00D8615A" w:rsidRDefault="00646117" w:rsidP="00A013F8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ab/>
        <w:t xml:space="preserve">- Dyrektora Zarządu Zlewni Wód Polskich w Gdańsku </w:t>
      </w:r>
    </w:p>
    <w:p w:rsidR="00646117" w:rsidRPr="00D8615A" w:rsidRDefault="00646117" w:rsidP="00A013F8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ab/>
        <w:t>znak GG.ZZŚ.4901.303.1.2024.KK z dnia 05.08.2024r. (data wpływu 05.08.2024r.)</w:t>
      </w:r>
    </w:p>
    <w:p w:rsidR="00646117" w:rsidRPr="00D8615A" w:rsidRDefault="00646117" w:rsidP="00646117">
      <w:pPr>
        <w:jc w:val="center"/>
        <w:rPr>
          <w:rFonts w:ascii="Times New Roman" w:hAnsi="Times New Roman" w:cs="Times New Roman"/>
          <w:b/>
        </w:rPr>
      </w:pPr>
      <w:r w:rsidRPr="00D8615A">
        <w:rPr>
          <w:rFonts w:ascii="Times New Roman" w:hAnsi="Times New Roman" w:cs="Times New Roman"/>
          <w:b/>
        </w:rPr>
        <w:t>Wójt Gminy Borzytuchom</w:t>
      </w:r>
    </w:p>
    <w:p w:rsidR="00646117" w:rsidRPr="00D8615A" w:rsidRDefault="00646117" w:rsidP="00646117">
      <w:pPr>
        <w:jc w:val="center"/>
        <w:rPr>
          <w:rFonts w:ascii="Times New Roman" w:hAnsi="Times New Roman" w:cs="Times New Roman"/>
          <w:b/>
        </w:rPr>
      </w:pPr>
      <w:r w:rsidRPr="00D8615A">
        <w:rPr>
          <w:rFonts w:ascii="Times New Roman" w:hAnsi="Times New Roman" w:cs="Times New Roman"/>
          <w:b/>
        </w:rPr>
        <w:t xml:space="preserve">p o s t a n a w i a  </w:t>
      </w:r>
    </w:p>
    <w:p w:rsidR="00646117" w:rsidRPr="00D8615A" w:rsidRDefault="00646117" w:rsidP="00646117">
      <w:pPr>
        <w:rPr>
          <w:rFonts w:ascii="Times New Roman" w:hAnsi="Times New Roman" w:cs="Times New Roman"/>
          <w:b/>
        </w:rPr>
      </w:pPr>
      <w:r w:rsidRPr="00D8615A">
        <w:rPr>
          <w:rFonts w:ascii="Times New Roman" w:hAnsi="Times New Roman" w:cs="Times New Roman"/>
          <w:b/>
        </w:rPr>
        <w:t>I.</w:t>
      </w:r>
    </w:p>
    <w:p w:rsidR="00646117" w:rsidRPr="00D8615A" w:rsidRDefault="00646117" w:rsidP="008A1D0E">
      <w:pPr>
        <w:jc w:val="both"/>
        <w:rPr>
          <w:rFonts w:ascii="Times New Roman" w:hAnsi="Times New Roman" w:cs="Times New Roman"/>
          <w:u w:val="single"/>
        </w:rPr>
      </w:pPr>
      <w:r w:rsidRPr="00D8615A">
        <w:rPr>
          <w:rFonts w:ascii="Times New Roman" w:hAnsi="Times New Roman" w:cs="Times New Roman"/>
          <w:b/>
        </w:rPr>
        <w:t xml:space="preserve">nałożyć obowiązek </w:t>
      </w:r>
      <w:r w:rsidR="004F5B94" w:rsidRPr="00D8615A">
        <w:rPr>
          <w:rFonts w:ascii="Times New Roman" w:hAnsi="Times New Roman" w:cs="Times New Roman"/>
          <w:b/>
        </w:rPr>
        <w:t xml:space="preserve">przeprowadzenia oceny oddziaływania na środowisko </w:t>
      </w:r>
      <w:r w:rsidR="004F5B94" w:rsidRPr="00D8615A">
        <w:rPr>
          <w:rFonts w:ascii="Times New Roman" w:hAnsi="Times New Roman" w:cs="Times New Roman"/>
        </w:rPr>
        <w:t>dla przedsięwzięcia pn.: „</w:t>
      </w:r>
      <w:r w:rsidR="004F5B94" w:rsidRPr="00D8615A">
        <w:rPr>
          <w:rFonts w:ascii="Times New Roman" w:hAnsi="Times New Roman" w:cs="Times New Roman"/>
          <w:u w:val="single"/>
        </w:rPr>
        <w:t xml:space="preserve">budowie 33 budynków mieszkalnych jednorodzinnych wraz z infrastrukturą towarzyszącą na działkach budowlanych o nr ewidencyjnych: </w:t>
      </w:r>
      <w:r w:rsidR="008A1D0E" w:rsidRPr="00D8615A">
        <w:rPr>
          <w:rFonts w:ascii="Times New Roman" w:hAnsi="Times New Roman" w:cs="Times New Roman"/>
          <w:u w:val="single"/>
        </w:rPr>
        <w:t>162/2, 162/3, 162/4, 162/5, 162/6, 162/7, 162/8, 162/10, 162/11, 162/12, 162/17, 162/18, 162/19, 162/20, 162/21, 162/22,162/23, 162/24, 162/25, 162/26, 162/27, 162/33, 162/34, 162/35, 162/36, 162/37, 162/38, 12/39, 162/40, 162/41, 162/42, 162/43, 162/44 obręb Jutrzenka. Działkę o numerze ew. 162/13 planuje się pozostawić bez zabudowy z przeznaczeniem na cele rekreacyjne przyszłych mieszkańców”</w:t>
      </w:r>
    </w:p>
    <w:p w:rsidR="008A1D0E" w:rsidRPr="00D8615A" w:rsidRDefault="008A1D0E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II.</w:t>
      </w:r>
    </w:p>
    <w:p w:rsidR="008A1D0E" w:rsidRPr="00D8615A" w:rsidRDefault="008A1D0E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  <w:b/>
        </w:rPr>
        <w:t xml:space="preserve">ustalić zakres raportu o oddziaływaniu przedsięwzięcia na środowisko, </w:t>
      </w:r>
      <w:r w:rsidRPr="00D8615A">
        <w:rPr>
          <w:rFonts w:ascii="Times New Roman" w:hAnsi="Times New Roman" w:cs="Times New Roman"/>
        </w:rPr>
        <w:t>zgodny z art. 66 ustawy ooś, z uwzględnieniem oceny oddziaływania na Park Krajobrazowy Dolina Słupi, w tym szczególnie:</w:t>
      </w:r>
    </w:p>
    <w:p w:rsidR="008A1D0E" w:rsidRPr="00D8615A" w:rsidRDefault="00CA11FF" w:rsidP="00D8615A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1. </w:t>
      </w:r>
      <w:r w:rsidR="008A1D0E" w:rsidRPr="00D8615A">
        <w:rPr>
          <w:rFonts w:ascii="Times New Roman" w:hAnsi="Times New Roman" w:cs="Times New Roman"/>
        </w:rPr>
        <w:t xml:space="preserve">opisu planowanego przedsięwzięcia, a w szczególności: </w:t>
      </w:r>
      <w:r w:rsidR="00521AE4" w:rsidRPr="00D8615A">
        <w:rPr>
          <w:rFonts w:ascii="Times New Roman" w:hAnsi="Times New Roman" w:cs="Times New Roman"/>
        </w:rPr>
        <w:t>weryfikacja działek inwestycyjnych względem planowanej komunikacji wewnętrznej; charakterystyka całego przedsięwzięcia i warunki użytkowania terenu podczas wykonywania prac związanych z jego realizacją i eksploatacją; główne cechy charakterystyczne procesów technologicznych; przewidywane rodzaje i ilości zanieczyszczeń, wynikających z realizacji inwestycji;</w:t>
      </w:r>
    </w:p>
    <w:p w:rsidR="00521AE4" w:rsidRPr="00D8615A" w:rsidRDefault="00521AE4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2.</w:t>
      </w:r>
      <w:r w:rsidR="00CA11FF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 xml:space="preserve">charakterystyki przyrodniczej terenu przedsięwzięcia oraz terenu znajdującego się w zasięgu jego oddziaływania, z uwzględnieniem gatunków roślin, grzybów i zwierząt objętych ochroną na podstawie przepisów ustawy z dnia 16 kwietnia 2004r. o ochronie przyrody </w:t>
      </w:r>
      <w:r w:rsidRPr="00D8615A">
        <w:rPr>
          <w:rFonts w:ascii="Times New Roman" w:hAnsi="Times New Roman" w:cs="Times New Roman"/>
          <w:i/>
        </w:rPr>
        <w:t>(</w:t>
      </w:r>
      <w:proofErr w:type="spellStart"/>
      <w:r w:rsidRPr="00D8615A">
        <w:rPr>
          <w:rFonts w:ascii="Times New Roman" w:hAnsi="Times New Roman" w:cs="Times New Roman"/>
          <w:i/>
        </w:rPr>
        <w:t>t.j</w:t>
      </w:r>
      <w:proofErr w:type="spellEnd"/>
      <w:r w:rsidRPr="00D8615A">
        <w:rPr>
          <w:rFonts w:ascii="Times New Roman" w:hAnsi="Times New Roman" w:cs="Times New Roman"/>
          <w:i/>
        </w:rPr>
        <w:t xml:space="preserve">. Dz. U. z 2024r., poz. 1478), </w:t>
      </w:r>
      <w:r w:rsidR="00007DCF" w:rsidRPr="00D8615A">
        <w:rPr>
          <w:rFonts w:ascii="Times New Roman" w:hAnsi="Times New Roman" w:cs="Times New Roman"/>
        </w:rPr>
        <w:lastRenderedPageBreak/>
        <w:t>gatunków i siedlisk gatunków z Załącznika I Dyrektywy PE i Rady 2009/147/WE wraz z przedstawieniem zagadnień w formie graficznej i kartograficznej;</w:t>
      </w:r>
    </w:p>
    <w:p w:rsidR="00007DCF" w:rsidRPr="00D8615A" w:rsidRDefault="00007DCF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3.</w:t>
      </w:r>
      <w:r w:rsidR="00CA11FF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 xml:space="preserve">analizy zgodności planowanej inwestycji z przepisami uchwały Nr 146/VII/11 Sejmiku Województwa Pomorskiego z dnia 27 kwietnia 2011 r. w sprawie Parku Krajobrazowego „Dolina Słupi” (Dz. Urz. Woj. Pom. Z 2011r., nr 66, poz. 1461 z późn. zm.); </w:t>
      </w:r>
    </w:p>
    <w:p w:rsidR="00007DCF" w:rsidRPr="00D8615A" w:rsidRDefault="00007DCF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4.</w:t>
      </w:r>
      <w:r w:rsidR="00CA11FF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>analizy zgodności planowanej inwestycji z treścią Planu ochrony dla Parku Krajobrazowego Dolina Słupi (Dz. Urz. Woj. Pom. Z 2003r., nr 83, poz. 1362);</w:t>
      </w:r>
    </w:p>
    <w:p w:rsidR="00204708" w:rsidRPr="00D8615A" w:rsidRDefault="00007DCF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5.</w:t>
      </w:r>
      <w:r w:rsidR="00CA11FF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 xml:space="preserve">oceny bezpośredniego oraz pośredniego wpływu przedsięwzięcia na Park Krajobrazowy Dolina Słupi oraz przewidywanych działań, mających na celu zapobieganie i ograniczanie </w:t>
      </w:r>
      <w:r w:rsidR="00204708" w:rsidRPr="00D8615A">
        <w:rPr>
          <w:rFonts w:ascii="Times New Roman" w:hAnsi="Times New Roman" w:cs="Times New Roman"/>
        </w:rPr>
        <w:t>negatywnych oddziaływań na środowisko i krajobraz, w szczególności na szczególne cele ochrony Parku Krajobrazowego Dolina Słupi, wraz z określeniem istotności oddziaływań po ich zastosowaniu;</w:t>
      </w:r>
    </w:p>
    <w:p w:rsidR="00204708" w:rsidRPr="00D8615A" w:rsidRDefault="00204708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6.</w:t>
      </w:r>
      <w:r w:rsidR="00CA11FF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>oceny bezpośredniego i pośredniego wpływu przedsięwzięcia i zastosowanych w nim technologii na stan i zachowanie, na etapie realizacji i eksploatacji:</w:t>
      </w:r>
    </w:p>
    <w:p w:rsidR="00204708" w:rsidRPr="00D8615A" w:rsidRDefault="00204708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gatunków i ich siedlisk, stanowiących przedmioty ochrony w obszarze Natura 2000 Dolina Słupi PLB220002;</w:t>
      </w:r>
    </w:p>
    <w:p w:rsidR="00204708" w:rsidRPr="00D8615A" w:rsidRDefault="00204708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siedlisk przyrodniczych oraz siedlisk gatunków objętych ochroną na mocy ww. ustawy o ochronie przyrody, mogących potencjalnie występować na terenie przedsięwzięcia oraz w jego sąsiedztwie,</w:t>
      </w:r>
    </w:p>
    <w:p w:rsidR="00204708" w:rsidRPr="00D8615A" w:rsidRDefault="00204708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integralności ww. obszaru Natura 2000, a także spójności sieci Natura 2000.</w:t>
      </w:r>
    </w:p>
    <w:p w:rsidR="00B91E3E" w:rsidRPr="00D8615A" w:rsidRDefault="00204708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Ocenę </w:t>
      </w:r>
      <w:r w:rsidR="00B91E3E" w:rsidRPr="00D8615A">
        <w:rPr>
          <w:rFonts w:ascii="Times New Roman" w:hAnsi="Times New Roman" w:cs="Times New Roman"/>
        </w:rPr>
        <w:t>poprzedzić należy badaniami przyrodniczymi terenu przedsięwzięcia, wykonanymi w okresie lęgowym i migracji zwierząt oraz w okresie wegetacyjnym roślin;</w:t>
      </w:r>
    </w:p>
    <w:p w:rsidR="00794931" w:rsidRPr="00D8615A" w:rsidRDefault="00794931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7.</w:t>
      </w:r>
      <w:r w:rsidR="00CA11FF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>opisu przewidywanych działań, mających na celu zapobieganie, ograniczanie lub kompensację przyrodniczą negatywnych oddziaływań na środowisko, w szczególności na przedmioty ochrony obszaru Natura 2000 Dolina Słupi PLB220002;</w:t>
      </w:r>
    </w:p>
    <w:p w:rsidR="00CA11FF" w:rsidRPr="00D8615A" w:rsidRDefault="00794931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8.</w:t>
      </w:r>
      <w:r w:rsidR="00CA11FF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 xml:space="preserve">przedstawienia propozycji </w:t>
      </w:r>
      <w:r w:rsidR="00E2184A" w:rsidRPr="00D8615A">
        <w:rPr>
          <w:rFonts w:ascii="Times New Roman" w:hAnsi="Times New Roman" w:cs="Times New Roman"/>
        </w:rPr>
        <w:t xml:space="preserve">monitoringu oddziaływania planowanego przedsięwzięcia na etapie jego budowy i eksploatacji </w:t>
      </w:r>
      <w:r w:rsidR="00CA11FF" w:rsidRPr="00D8615A">
        <w:rPr>
          <w:rFonts w:ascii="Times New Roman" w:hAnsi="Times New Roman" w:cs="Times New Roman"/>
        </w:rPr>
        <w:t>lub użytkowania, w szczególności na przedmioty ochrony i cele działań ochronnych ww. obszaru Natura 2000 oraz na ich integralność;</w:t>
      </w:r>
    </w:p>
    <w:p w:rsidR="00CA11FF" w:rsidRPr="00D8615A" w:rsidRDefault="00CA11FF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9. analizy skumulowanego oddziaływania planowanego przedsięwzięcia z innymi planowanymi i zrealizowanymi inwestycjami o podobnym charakterze, znajdującymi się w sąsiedztwie, na poszczególne elementy środowiska, w tym na Park Krajobrazowy Dolina Słupi, obszar Natura 2000 Dolina Słupi PLB220002 oraz na pozostałe formy ochrony przyrody;</w:t>
      </w:r>
    </w:p>
    <w:p w:rsidR="00CA11FF" w:rsidRPr="00D8615A" w:rsidRDefault="00CA11FF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10. oceny bezpośredniego i pośredniego wpływu inwestycji na stan i zachowanie, na etapie realizacji i eksploatacji: siedlisk przyrodniczych, gatunków i ich siedlisk, objętych ochroną na mocy ww. ustawy o ochronie przyrody, mogących potencjalnie występować na terenie przedsięwzięcia oraz w obszarze jego oddziaływania; oceny i analizy należy dokonać na podstawie badań terenu przedsięwzięcia wykonanych w okresie wegetacyjnym roślin oraz w okresie aktywności zwierząt;</w:t>
      </w:r>
    </w:p>
    <w:p w:rsidR="008A2D5B" w:rsidRPr="00D8615A" w:rsidRDefault="00CA11FF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11. </w:t>
      </w:r>
      <w:r w:rsidR="008A2D5B" w:rsidRPr="00D8615A">
        <w:rPr>
          <w:rFonts w:ascii="Times New Roman" w:hAnsi="Times New Roman" w:cs="Times New Roman"/>
        </w:rPr>
        <w:t>opisu układu hydrologicznego terenu objętego inwestycją oraz zasięgu oddziaływania inwestycji wraz z analizą wpływu przedsięwzięcia na ten układ;</w:t>
      </w:r>
    </w:p>
    <w:p w:rsidR="008A2D5B" w:rsidRPr="00D8615A" w:rsidRDefault="008A2D5B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12. opis krajobrazu, w którym planowane przedsięwzięcie ma być zlokalizowane, z uwzględnieniem oddziaływania inwestycji na znaczenie i odbiór krajobrazu z punktów widokowych będących w zasięgu oddziaływania inwestycji, a także pól ekspozycji i osi widokowych; określenie, z jakiej odległości wokół planowanej inwestycji zauważalne będą przekształcenia w krajobrazie;</w:t>
      </w:r>
    </w:p>
    <w:p w:rsidR="00CA11FF" w:rsidRPr="00D8615A" w:rsidRDefault="00E8698D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lastRenderedPageBreak/>
        <w:t>13. opisu przewidywanych działań mających na celu zapobieganie i ograniczanie negatywnych oddziaływań na środowisko oraz krajobraz, wraz z określeniem istotności oddziaływań po ich zastosowaniu;</w:t>
      </w:r>
    </w:p>
    <w:p w:rsidR="00E8698D" w:rsidRPr="00D8615A" w:rsidRDefault="00E8698D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14. opisu wariantów uwzgledniających szczególne cechy przedsięwzięcia lub jego oddziaływania, w tym:</w:t>
      </w:r>
    </w:p>
    <w:p w:rsidR="00E8698D" w:rsidRPr="00D8615A" w:rsidRDefault="00E8698D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wariantu proponowanego przez wnioskodawcę oraz racjonalnego wariantu alternatywnego,</w:t>
      </w:r>
    </w:p>
    <w:p w:rsidR="00E8698D" w:rsidRPr="00D8615A" w:rsidRDefault="00E8698D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racjonalnego wariantu najkorzystniejszego dla środowiska, wraz z uzasadnieniem ich wyboru;</w:t>
      </w:r>
    </w:p>
    <w:p w:rsidR="00E8698D" w:rsidRPr="00D8615A" w:rsidRDefault="00E8698D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15. oceny wpływu inwestycji po zastosowaniu wszystkich możliwych środków łagodzących negatywne oddziaływanie na środowisko;</w:t>
      </w:r>
    </w:p>
    <w:p w:rsidR="00A82450" w:rsidRPr="00D8615A" w:rsidRDefault="00E8698D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16. analizy oddziaływania planowanego przedsięwzięcia na klimat i jego zmiany (</w:t>
      </w:r>
      <w:proofErr w:type="spellStart"/>
      <w:r w:rsidRPr="00D8615A">
        <w:rPr>
          <w:rFonts w:ascii="Times New Roman" w:hAnsi="Times New Roman" w:cs="Times New Roman"/>
        </w:rPr>
        <w:t>mitygacja</w:t>
      </w:r>
      <w:proofErr w:type="spellEnd"/>
      <w:r w:rsidRPr="00D8615A">
        <w:rPr>
          <w:rFonts w:ascii="Times New Roman" w:hAnsi="Times New Roman" w:cs="Times New Roman"/>
        </w:rPr>
        <w:t xml:space="preserve">, czyli łagodzenie poprzez przedsięwzięcie zmian klimatu) oraz wpływu klimatu i jego zmian na przedsięwzięcie (adaptacja przedsięwzięcia do zmian klimatu) uwzględniając zmiany zagospodarowania terenu </w:t>
      </w:r>
      <w:r w:rsidR="00A82450" w:rsidRPr="00D8615A">
        <w:rPr>
          <w:rFonts w:ascii="Times New Roman" w:hAnsi="Times New Roman" w:cs="Times New Roman"/>
        </w:rPr>
        <w:t>objętego wnioskiem;</w:t>
      </w:r>
    </w:p>
    <w:p w:rsidR="00A82450" w:rsidRPr="00D8615A" w:rsidRDefault="00A82450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17. analizy możliwych konfliktów społecznych związanych z realizacją przedsięwzięcia – ustalenie czy wariant wybrany do realizacji jest optymalny nie tylko dla Inwestora, ale i dla właścicieli sąsiednich nieruchomości oraz określenie w jaki sposób Inwestor zamierza przeciwdziałać konfliktom społecznym w związku z planowaną inwestycją;</w:t>
      </w:r>
    </w:p>
    <w:p w:rsidR="00E8698D" w:rsidRPr="00D8615A" w:rsidRDefault="00A82450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18. przedstawienia szczegółowego opisu metod i materiałów wykorzystywanych przy opracowaniu </w:t>
      </w:r>
      <w:r w:rsidR="00E8698D" w:rsidRPr="00D8615A">
        <w:rPr>
          <w:rFonts w:ascii="Times New Roman" w:hAnsi="Times New Roman" w:cs="Times New Roman"/>
        </w:rPr>
        <w:t xml:space="preserve"> </w:t>
      </w:r>
      <w:r w:rsidRPr="00D8615A">
        <w:rPr>
          <w:rFonts w:ascii="Times New Roman" w:hAnsi="Times New Roman" w:cs="Times New Roman"/>
        </w:rPr>
        <w:t>raportu ooś, w tym wyniki przeprowadzonych inwentaryzacji przyrodniczych;</w:t>
      </w:r>
    </w:p>
    <w:p w:rsidR="00A82450" w:rsidRPr="00D8615A" w:rsidRDefault="00A82450" w:rsidP="008A1D0E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19. przedłożenie wersji cyfrowej raportu i danych inwentaryzacyjnych w formacie zgodnym z § 1 Rozporządzenia Ministra Klimatu i Środowiska z dnia 17 marca 2022 r., w sprawie formatu dokumentu zwierającego wyniki inwentaryzacji przyrodniczej oraz formatu raportu o oddziaływaniu przedsięwzięcia na środowisko (Dz. U. z 2022r., poz. 652).</w:t>
      </w:r>
    </w:p>
    <w:p w:rsidR="00A82450" w:rsidRPr="00D8615A" w:rsidRDefault="00A82450" w:rsidP="00A82450">
      <w:pPr>
        <w:jc w:val="center"/>
        <w:rPr>
          <w:rFonts w:ascii="Times New Roman" w:hAnsi="Times New Roman" w:cs="Times New Roman"/>
          <w:b/>
        </w:rPr>
      </w:pPr>
      <w:r w:rsidRPr="00D8615A">
        <w:rPr>
          <w:rFonts w:ascii="Times New Roman" w:hAnsi="Times New Roman" w:cs="Times New Roman"/>
          <w:b/>
        </w:rPr>
        <w:t xml:space="preserve">UZASADNIENIE </w:t>
      </w:r>
    </w:p>
    <w:p w:rsidR="00A82450" w:rsidRPr="00D8615A" w:rsidRDefault="009C0271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Wnioskiem z dnia 11 lipca 2024r. Pani Magdaleny Wysockiej, zwróciła się do Wójta Gminy Borzytuchom o wydanie decyzji o środowiskowych uwarunkowaniach na realizację przedsięwzięcia pn.: „budowie 33 budynków mieszkalnych jednorodzinnych wraz z infrastrukturą towarzyszącą”</w:t>
      </w:r>
    </w:p>
    <w:p w:rsidR="009C0271" w:rsidRPr="00D8615A" w:rsidRDefault="009C0271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Wnioskodawca, </w:t>
      </w:r>
      <w:r w:rsidR="00523DA1" w:rsidRPr="00D8615A">
        <w:rPr>
          <w:rFonts w:ascii="Times New Roman" w:hAnsi="Times New Roman" w:cs="Times New Roman"/>
        </w:rPr>
        <w:t>zgodnie z art. 74 ust. 1 z dnia 3 października 2008 r. o udostępnieniu informacji o środowiska i jego ochronie, udziale społeczeństwa w ochronie środowiska oraz o ocenach oddziaływania na środowisko (Dz. U. z 2023r., poz. 1094) dołączył do wniosku kartę informacyjną przedsięwzięcia, poświadczoną przez Starostę Bytowskiego kopie mapy ewidencyjnej obejmującej przewidywany teren, na którym będzie realizowane przedsięwzięcie oraz obejmujące obszar, na który będzie ono oddziaływ</w:t>
      </w:r>
      <w:r w:rsidR="000E6DD8" w:rsidRPr="00D8615A">
        <w:rPr>
          <w:rFonts w:ascii="Times New Roman" w:hAnsi="Times New Roman" w:cs="Times New Roman"/>
        </w:rPr>
        <w:t xml:space="preserve">ać, wypisy z rejestru gruntów. </w:t>
      </w:r>
    </w:p>
    <w:p w:rsidR="00CE438B" w:rsidRPr="00D8615A" w:rsidRDefault="000E6DD8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Planowane przedsięwzięcie polegające na budowie budynków mieszkalnych wraz z infrastrukturą towarzyszącą kwalifikuje się zgodnie z rozporządzeniem Rady Ministrów z dnia 10 września 2019r., w sprawie przedsięwzięć mogących znacząco oddziaływać na środowisko jako § 3 ust. 1 pkt 55 b): „zabudowa mieszkaniowa wraz </w:t>
      </w:r>
      <w:r w:rsidR="00F67DA9" w:rsidRPr="00D8615A">
        <w:rPr>
          <w:rFonts w:ascii="Times New Roman" w:hAnsi="Times New Roman" w:cs="Times New Roman"/>
        </w:rPr>
        <w:t xml:space="preserve">z towarzyszącą jej infrastrukturą: nieobjęta ustaleniami miejscowego planu </w:t>
      </w:r>
      <w:r w:rsidR="00C05F51" w:rsidRPr="00D8615A">
        <w:rPr>
          <w:rFonts w:ascii="Times New Roman" w:hAnsi="Times New Roman" w:cs="Times New Roman"/>
        </w:rPr>
        <w:t>zagospodarowania przestrzennego albo miejscowego planu odbudowy, o powierzchni zabudowy nie m</w:t>
      </w:r>
      <w:r w:rsidR="00F20210">
        <w:rPr>
          <w:rFonts w:ascii="Times New Roman" w:hAnsi="Times New Roman" w:cs="Times New Roman"/>
        </w:rPr>
        <w:t xml:space="preserve">niejszej niż: </w:t>
      </w:r>
      <w:r w:rsidR="00C05F51" w:rsidRPr="00D8615A">
        <w:rPr>
          <w:rFonts w:ascii="Times New Roman" w:hAnsi="Times New Roman" w:cs="Times New Roman"/>
        </w:rPr>
        <w:t>0,5 ha na obszarach objętych formami ochrony przyrody, o których mowa w art. 6 ust. 1 pkt 1-5, 8 i 9 ustawy z dnia 16 kwietnia 2004r., o ochronie przyrody, lub w otulinach form</w:t>
      </w:r>
      <w:r w:rsidR="00C05F51">
        <w:t xml:space="preserve"> ochrony </w:t>
      </w:r>
      <w:r w:rsidR="00C05F51" w:rsidRPr="00D8615A">
        <w:rPr>
          <w:rFonts w:ascii="Times New Roman" w:hAnsi="Times New Roman" w:cs="Times New Roman"/>
        </w:rPr>
        <w:t>przyrody, o których mowa w art. 6 ust. 1 pkt 1-3 tej ustawy”</w:t>
      </w:r>
      <w:r w:rsidR="00070740" w:rsidRPr="00D8615A">
        <w:rPr>
          <w:rFonts w:ascii="Times New Roman" w:hAnsi="Times New Roman" w:cs="Times New Roman"/>
        </w:rPr>
        <w:t xml:space="preserve">. W związku </w:t>
      </w:r>
      <w:r w:rsidR="006E3F6B" w:rsidRPr="00D8615A">
        <w:rPr>
          <w:rFonts w:ascii="Times New Roman" w:hAnsi="Times New Roman" w:cs="Times New Roman"/>
        </w:rPr>
        <w:t xml:space="preserve">z tym realizacja ww. przedsięwzięcia wymaga uzyskania </w:t>
      </w:r>
      <w:r w:rsidR="00CE438B" w:rsidRPr="00D8615A">
        <w:rPr>
          <w:rFonts w:ascii="Times New Roman" w:hAnsi="Times New Roman" w:cs="Times New Roman"/>
        </w:rPr>
        <w:t xml:space="preserve">decyzji o środowiskowych uwarunkowaniach: </w:t>
      </w:r>
    </w:p>
    <w:p w:rsidR="00CE438B" w:rsidRPr="00D8615A" w:rsidRDefault="00CE438B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lastRenderedPageBreak/>
        <w:t>- przedsięwzięcie jest zlokalizowane w Parku Krajobrazowym „Dolina Słupi”  oraz obszarze Natura 2000 Dolina Słupi PLB220002,</w:t>
      </w:r>
    </w:p>
    <w:p w:rsidR="00CE438B" w:rsidRPr="00D8615A" w:rsidRDefault="00CE438B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dla terenu objętego inwestycją nie uchwalono miejscowego planu zagospodarowania przestrzennego,</w:t>
      </w:r>
    </w:p>
    <w:p w:rsidR="00CC01BA" w:rsidRPr="00D8615A" w:rsidRDefault="00CE438B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w związku z rodzajem i lokalizacją przedsi</w:t>
      </w:r>
      <w:r w:rsidR="00CC01BA" w:rsidRPr="00D8615A">
        <w:rPr>
          <w:rFonts w:ascii="Times New Roman" w:hAnsi="Times New Roman" w:cs="Times New Roman"/>
        </w:rPr>
        <w:t>ęwzięcia, oddalona od granic Państwa, wykluczona jest możliwość oddziaływania planowanego przedsięwzięcia na obszary położone poza granicami Polski zarówno na etapie realizacji jak i eksploatacji. Nie zachodzą, więc przesłanki do przeprowadzenia postepowania w sprawie oceny oddziaływania na środowisko w kontekście transgranicznym.</w:t>
      </w:r>
    </w:p>
    <w:p w:rsidR="00803F4A" w:rsidRPr="00D8615A" w:rsidRDefault="00CC01BA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Działając na podstawie art. 64 ust. 1 pkt. 1 ustawy z dnia 3 października 2008r., o udostępnieniu informacji o środowisku i jego ochronie, udziale społeczeństwa w ochronie środowiska oraz o ocenach oddziaływania na środowisko, Wójt Gminy Borzytuchom w dniu 23.07.2024r., wystąpił z pismem do Regionalnego Dyrektora Ochrony Środowiska w Gdańsku, Państwowego Inspektora Sanitarnego </w:t>
      </w:r>
      <w:r w:rsidR="00803F4A" w:rsidRPr="00D8615A">
        <w:rPr>
          <w:rFonts w:ascii="Times New Roman" w:hAnsi="Times New Roman" w:cs="Times New Roman"/>
        </w:rPr>
        <w:t xml:space="preserve">w Bytowie, Państwowej Gospodarki Wodnej Wody Polskie Zarządu Zlewni w Gdańsku o wyrażeniu opinii w przedmiocie przeprowadzenia oceny oddziaływania przedsięwzięcia na środowisko. </w:t>
      </w:r>
    </w:p>
    <w:p w:rsidR="008E7614" w:rsidRPr="00D8615A" w:rsidRDefault="008E7614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Regionalny Dyrektor Ochrony Środowiska w Gdańsku postanowieniem znak RDOŚ-Gd-WOO.4220.489.2024.MC.5 z dnia 29.10.2024r., (data wpływu 04.11.2024r.) wyraził opinię o konieczności przeprowadzenia oceny oddziaływania na środowisko dla ww. przedsięwzięcia ze szczególnym uwzględnieniem:</w:t>
      </w:r>
    </w:p>
    <w:p w:rsidR="00934CC5" w:rsidRPr="00D8615A" w:rsidRDefault="00934CC5" w:rsidP="00523DA1">
      <w:pPr>
        <w:jc w:val="both"/>
        <w:rPr>
          <w:rFonts w:ascii="Times New Roman" w:hAnsi="Times New Roman" w:cs="Times New Roman"/>
          <w:u w:val="single"/>
        </w:rPr>
      </w:pPr>
      <w:r w:rsidRPr="00D8615A">
        <w:rPr>
          <w:rFonts w:ascii="Times New Roman" w:hAnsi="Times New Roman" w:cs="Times New Roman"/>
          <w:u w:val="single"/>
        </w:rPr>
        <w:t xml:space="preserve">Rodzaj i charakterystykę przedsięwzięcia </w:t>
      </w:r>
    </w:p>
    <w:p w:rsidR="000E6DD8" w:rsidRPr="00D8615A" w:rsidRDefault="00934CC5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Przedmiotowe przedsięwzięcie polegać będzie na budowie 33 budynków mieszkalnych wraz z infrastrukturą towarzyszącą. Planuje się realizację budynków mieszkalnych jednorodzinnych, parterowych z poddaszem użytkowym, z możliwością wykonania podpiwniczenia oraz budowy garaży wybudowanych lub dobudowanych. Teren ten będzie posiadać dostęp do drogi publicznej (dz. nr 152). Działki w obrębie terenu inwestycyjnego skomunikowane będą wewnętrznym układem komunikacyjnym poprzez drogę gminną (działki o nr ew. 162/28 i 162/29 oraz 162/45). Do każdego z budynków mieszkalnych zamierza się doprowadzić wodę i energię elektryczną oraz zapewnić odbiór ścieków. W obrębie projektowanych budynków planuje się </w:t>
      </w:r>
      <w:r w:rsidR="000E6DD8" w:rsidRPr="00D8615A">
        <w:rPr>
          <w:rFonts w:ascii="Times New Roman" w:hAnsi="Times New Roman" w:cs="Times New Roman"/>
        </w:rPr>
        <w:t xml:space="preserve"> </w:t>
      </w:r>
      <w:r w:rsidR="00CE41DB" w:rsidRPr="00D8615A">
        <w:rPr>
          <w:rFonts w:ascii="Times New Roman" w:hAnsi="Times New Roman" w:cs="Times New Roman"/>
        </w:rPr>
        <w:t>wykonać nawierzchnie utwardzone (dojścia i dojazdy), pozostałe części działki zamierza się przeznaczyć na tereny zielone. Realizacja planowanego przedsięwzięcia wymagać będzie przeprowadzenia niezbędnych prac ziemnych, wykonania niwelacji terenu i wykopów pod fundamenty budynków mieszkalnych, ponadto obejmie wytyczne szlaków komunikacyjnych wraz z niezbędną infrastrukturą techniczną.</w:t>
      </w:r>
    </w:p>
    <w:p w:rsidR="00CE41DB" w:rsidRPr="00D8615A" w:rsidRDefault="00CE41DB" w:rsidP="00523DA1">
      <w:pPr>
        <w:jc w:val="both"/>
        <w:rPr>
          <w:rFonts w:ascii="Times New Roman" w:hAnsi="Times New Roman" w:cs="Times New Roman"/>
          <w:u w:val="single"/>
        </w:rPr>
      </w:pPr>
      <w:r w:rsidRPr="00D8615A">
        <w:rPr>
          <w:rFonts w:ascii="Times New Roman" w:hAnsi="Times New Roman" w:cs="Times New Roman"/>
          <w:u w:val="single"/>
        </w:rPr>
        <w:t>Usytuowanie przedsięwzięcia</w:t>
      </w:r>
    </w:p>
    <w:p w:rsidR="00CE41DB" w:rsidRPr="00D8615A" w:rsidRDefault="00CE41DB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Przedmiotowa inwestycja zlokalizowana będzie na terenie działek nr 162/82, 162/3, 162/4, 162/5, 162/6, 162/7, 162/8, 162/10, 162/11, 162/12, 162/13, 162/17, 162/18, 162/19, 162/20, 162/21, 162/22, 162/23, 162/24, 162/25, 162/26, 162/27, 162/33, 162/34, 162/35, 162/36, 162/37, 162/38, 162/39, 162/40, 162/41, 162/42, 162/43, 162/44, obręb Jutrzenka, gmina Borzytuchom, powiat bytowski, województwo pomorskie.</w:t>
      </w:r>
      <w:r w:rsidR="00147330" w:rsidRPr="00D8615A">
        <w:rPr>
          <w:rFonts w:ascii="Times New Roman" w:hAnsi="Times New Roman" w:cs="Times New Roman"/>
        </w:rPr>
        <w:t xml:space="preserve"> Działki inwestycyjne otoczone są gruntami użytkowanymi rolniczo. Od strony południowej inwestycja sąsiadować będzie z gruntami leśnymi. Otaczający krajobraz stanowią pola, tereny zabudowy zagrodowej i leśne oraz pobliska rzeka – Kamionka. Najbliższa pojedyncza zabudowa mieszkaniowa (zagrodowa) znajduje się w odległości ok 30 m w kierunku południowo-zachodnim od terenu planowanego zainwestowania. </w:t>
      </w:r>
    </w:p>
    <w:p w:rsidR="00147330" w:rsidRPr="00D8615A" w:rsidRDefault="00147330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Przeprowadzona analiza przyrodnicza wskazuje, że teren inwestycji uległ zmianie w wyniku zaniechania użytkowania rolniczego i postępującej sukcesji wtórnej. W miejscu planowanej inwestycji fitocenoza ma charakter rzędu Molinio-Arrhenatheretea- półnaturalnych i antropogenicznych</w:t>
      </w:r>
      <w:r>
        <w:t xml:space="preserve"> </w:t>
      </w:r>
      <w:r w:rsidRPr="00D8615A">
        <w:rPr>
          <w:rFonts w:ascii="Times New Roman" w:hAnsi="Times New Roman" w:cs="Times New Roman"/>
        </w:rPr>
        <w:t xml:space="preserve">darniowych zbiorowisk łąkowych i pastwiskowych. </w:t>
      </w:r>
      <w:r w:rsidR="00B90983" w:rsidRPr="00D8615A">
        <w:rPr>
          <w:rFonts w:ascii="Times New Roman" w:hAnsi="Times New Roman" w:cs="Times New Roman"/>
        </w:rPr>
        <w:t xml:space="preserve">Wykazując wysoką dynamikę fitocenoza poddawana jest znaczącej presji elementów inwazyjnych i tendencji do dalszego przekształcenia. Obszar przeznaczony pod zabudowę jest w głównej mierze płaski, bez rowów melioracyjnych, ani oczek </w:t>
      </w:r>
      <w:r w:rsidR="00B90983" w:rsidRPr="00D8615A">
        <w:rPr>
          <w:rFonts w:ascii="Times New Roman" w:hAnsi="Times New Roman" w:cs="Times New Roman"/>
        </w:rPr>
        <w:lastRenderedPageBreak/>
        <w:t xml:space="preserve">czy zagłębień pokrytych wodą. Na terenie planowanej inwestycji, nie zidentyfikowano występowania gatunków chronionych czy rzadkich. Teren przyszłego </w:t>
      </w:r>
      <w:r w:rsidR="00344EF0" w:rsidRPr="00D8615A">
        <w:rPr>
          <w:rFonts w:ascii="Times New Roman" w:hAnsi="Times New Roman" w:cs="Times New Roman"/>
        </w:rPr>
        <w:t xml:space="preserve">zainwestowania </w:t>
      </w:r>
      <w:r w:rsidR="0090381D" w:rsidRPr="00D8615A">
        <w:rPr>
          <w:rFonts w:ascii="Times New Roman" w:hAnsi="Times New Roman" w:cs="Times New Roman"/>
        </w:rPr>
        <w:t>porastają pospolite gatunki roślin związane z sąsiadującymi terenami upraw. W obrębie wydzielonych działek łącznie rośnie 11 sosen (Pinus slivestris) i 1 świerk (Picea abies). Żadne z tych drzew nie posiada dziupli ani innych oznak gniazdowania ptaków. Drzewa planuje się zaadoptować w ramach planowanego zagospodarowania terenu, natomiast w przypadku kolizji istniejącego drzewostanu z planowaną zabudową, Inwestor wystąpi o ich usunięcie.</w:t>
      </w:r>
    </w:p>
    <w:p w:rsidR="0090381D" w:rsidRPr="00D8615A" w:rsidRDefault="0090381D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Występująca na terenie inwestycji fauna jest typowa dla terenów rolniczych oraz wędrujących, żerujących </w:t>
      </w:r>
      <w:r w:rsidR="00AF5F1E" w:rsidRPr="00D8615A">
        <w:rPr>
          <w:rFonts w:ascii="Times New Roman" w:hAnsi="Times New Roman" w:cs="Times New Roman"/>
        </w:rPr>
        <w:t xml:space="preserve">zwierząt z sąsiednich kompleksów leśnych. W czasie obserwacji na terenie działek inwestycyjnych i w jej otoczeniu nie zaobserwowano większych gatunków ssaków. Mogą tu także występować drobne gryzonie oraz polujące na nie </w:t>
      </w:r>
      <w:r w:rsidR="009E48D2" w:rsidRPr="00D8615A">
        <w:rPr>
          <w:rFonts w:ascii="Times New Roman" w:hAnsi="Times New Roman" w:cs="Times New Roman"/>
        </w:rPr>
        <w:t>drapieżniki rodzaju jak np.: kuna, tchórz, łasica, mysz polna, ryjówka, lis. Nie stwierdzon</w:t>
      </w:r>
      <w:r w:rsidR="00393F32" w:rsidRPr="00D8615A">
        <w:rPr>
          <w:rFonts w:ascii="Times New Roman" w:hAnsi="Times New Roman" w:cs="Times New Roman"/>
        </w:rPr>
        <w:t xml:space="preserve">o występowania gatunków ssaków oraz bezkręgowców objętych ochroną gatunkową. Podczas inwentaryzacji przedmiotowego terenu oraz w jego sąsiedztwie nie stwierdzono występowania przedstawicieli herpetofauny, a przedmiotowe nieruchomości nie stanowią atrakcyjnego miejsca bytowania dla tej grupy zwierząt. </w:t>
      </w:r>
    </w:p>
    <w:p w:rsidR="00DC1AC2" w:rsidRPr="00D8615A" w:rsidRDefault="00393F32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Przedmiotowy </w:t>
      </w:r>
      <w:r w:rsidR="00EC1FBF" w:rsidRPr="00D8615A">
        <w:rPr>
          <w:rFonts w:ascii="Times New Roman" w:hAnsi="Times New Roman" w:cs="Times New Roman"/>
        </w:rPr>
        <w:t xml:space="preserve">teren planowanego przedsięwzięcia znajduje się w granicach Parku Krajobrazowego Dolina Słupi. Zgodnie z uchwała nr 146/VII/11 Sejmiku Województwa Pomorskiego z dnia 27 kwietnia 2011 r. w sprawie Parku Krajobrazowego „Dolina Słupi” (Dz. Urz. Woj. Pom. Z 2011r., Nr 66, poz. 1461 z późn. zm.), szczególnymi celami ochrony Parku są m.in.: zachowanie cennych zadrzewień przyrożnych i śródpolnych oraz zachowanie bogactwa fauny Parku, zapewnienie ochrony biotopów ważnych dla rozrodu gatunków zagrożonych, w szczególności tarlisk ryb i legowisk ptaków. </w:t>
      </w:r>
    </w:p>
    <w:p w:rsidR="007873D3" w:rsidRPr="00D8615A" w:rsidRDefault="00DC1AC2" w:rsidP="00523DA1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Na terenie Parku obowiązują zakazy dotyczące m.in.: realizacji przedsięwzięć mogących znacząco oddziaływać na środowisko w rozumieniu przepisów ustawy z dnia 3 października 2008r. o udostępnianiu informacji o środowisku i jego ochronie, udziale społeczeństwa w ochronie środowiska oraz o ocenach oddziaływania na środowisko (Dz. U. Nr 199, poz. 1227 i Nr 227, poz. 1505 oraz z 2009 r., Nr 42, poz. 340 i Nr 84, poz. 700) </w:t>
      </w:r>
      <w:r w:rsidR="007873D3" w:rsidRPr="00D8615A">
        <w:rPr>
          <w:rFonts w:ascii="Times New Roman" w:hAnsi="Times New Roman" w:cs="Times New Roman"/>
        </w:rPr>
        <w:t>; likwidowania i niszczenia zadrzewień śródpolnych, przydrożnych i nadwodnych, jeżeli nie wynikają z potrzeby ochrony przeciwpowodziowej lub zapewnienia bezpieczeństwa ruchu drogowego lub wodnego lub budowy, odbudowy, utrzymania, remontów lub naprawy urządzeń wodnych. Zgodnie z art. 17 ust. 3 ustawy o ochronie przyrody, zakaz odnoszący się do realizacji przedsięwzięć mogących znacząco oddziaływać na środowisko nie dotyczy inwestycji, dla których sporządzenie raportu o oddziaływaniu na środowisko nie jest obowiązkowe i przeprowadzona procedura oceny oddziaływania na środowisko wykazała brak niekorzystnego wpływu na przyrodę i krajobraz parku krajobrazowego. Zgodnie z art. 3 ust. 1 pkt 8 ustawy ooś ocenę oddziaływania przedsięwzięcia na środowisko rozumie się postepowanie w sprawie oceny oddziaływania na środowisko planowanego przedsięwzięcia, obejmujące w szczególności:</w:t>
      </w:r>
    </w:p>
    <w:p w:rsidR="007873D3" w:rsidRPr="00D8615A" w:rsidRDefault="00100E9B" w:rsidP="007873D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w</w:t>
      </w:r>
      <w:r w:rsidR="007873D3" w:rsidRPr="00D8615A">
        <w:rPr>
          <w:rFonts w:ascii="Times New Roman" w:hAnsi="Times New Roman" w:cs="Times New Roman"/>
        </w:rPr>
        <w:t>eryfikacje raportu o oddziaływaniu przedsięwzięcia na środowisko,</w:t>
      </w:r>
    </w:p>
    <w:p w:rsidR="007873D3" w:rsidRPr="00D8615A" w:rsidRDefault="00100E9B" w:rsidP="007873D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u</w:t>
      </w:r>
      <w:r w:rsidR="007873D3" w:rsidRPr="00D8615A">
        <w:rPr>
          <w:rFonts w:ascii="Times New Roman" w:hAnsi="Times New Roman" w:cs="Times New Roman"/>
        </w:rPr>
        <w:t>zyskania wymaganych ustawą opinii i uzgodnień,</w:t>
      </w:r>
    </w:p>
    <w:p w:rsidR="00100E9B" w:rsidRPr="00D8615A" w:rsidRDefault="00100E9B" w:rsidP="007873D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z</w:t>
      </w:r>
      <w:r w:rsidR="007873D3" w:rsidRPr="00D8615A">
        <w:rPr>
          <w:rFonts w:ascii="Times New Roman" w:hAnsi="Times New Roman" w:cs="Times New Roman"/>
        </w:rPr>
        <w:t>apewnienie możliwości udziału społeczeństwa w postepowaniu</w:t>
      </w:r>
      <w:r w:rsidRPr="00D8615A">
        <w:rPr>
          <w:rFonts w:ascii="Times New Roman" w:hAnsi="Times New Roman" w:cs="Times New Roman"/>
        </w:rPr>
        <w:t>.</w:t>
      </w:r>
    </w:p>
    <w:p w:rsidR="004A0C1E" w:rsidRDefault="001D5EC5" w:rsidP="00100E9B">
      <w:pPr>
        <w:jc w:val="both"/>
        <w:rPr>
          <w:u w:val="single"/>
        </w:rPr>
      </w:pPr>
      <w:r w:rsidRPr="00D8615A">
        <w:rPr>
          <w:rFonts w:ascii="Times New Roman" w:hAnsi="Times New Roman" w:cs="Times New Roman"/>
        </w:rPr>
        <w:t>Procedura oceny oddziaływania na środowisko winna wykazać, czy przedsięwzięcie będzie naruszać zakazy obowiązujące</w:t>
      </w:r>
      <w:r w:rsidR="004A0C1E" w:rsidRPr="00D8615A">
        <w:rPr>
          <w:rFonts w:ascii="Times New Roman" w:hAnsi="Times New Roman" w:cs="Times New Roman"/>
        </w:rPr>
        <w:t xml:space="preserve"> w parku krajobrazowym, a także czy będzie niekorzystnie wpływać na przyrodę i krajobraz. W związku z powyższym </w:t>
      </w:r>
      <w:r w:rsidR="004A0C1E" w:rsidRPr="00D8615A">
        <w:rPr>
          <w:rFonts w:ascii="Times New Roman" w:hAnsi="Times New Roman" w:cs="Times New Roman"/>
          <w:u w:val="single"/>
        </w:rPr>
        <w:t>koniecznym jest poddanie przedmiotowego przedsięwzięcia ocenie</w:t>
      </w:r>
      <w:r w:rsidR="004A0C1E">
        <w:rPr>
          <w:u w:val="single"/>
        </w:rPr>
        <w:t xml:space="preserve"> </w:t>
      </w:r>
      <w:r w:rsidR="004A0C1E" w:rsidRPr="00D8615A">
        <w:rPr>
          <w:rFonts w:ascii="Times New Roman" w:hAnsi="Times New Roman" w:cs="Times New Roman"/>
          <w:u w:val="single"/>
        </w:rPr>
        <w:t>oddziaływania na środowisko w zakresie wpływu na przyrodę i krajobraz w granicach Parku Krajobrazowego Dolina Słupi.</w:t>
      </w:r>
      <w:r w:rsidR="004A0C1E">
        <w:rPr>
          <w:u w:val="single"/>
        </w:rPr>
        <w:t xml:space="preserve"> </w:t>
      </w:r>
    </w:p>
    <w:p w:rsidR="002F2902" w:rsidRPr="00D8615A" w:rsidRDefault="009A7932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Przedmiotowa inwestycja położona będzie w granicach obszaru Natura 2000 Dolina Słupi PLB220002. Zgodnie ze S</w:t>
      </w:r>
      <w:r w:rsidR="008437FE" w:rsidRPr="00D8615A">
        <w:rPr>
          <w:rFonts w:ascii="Times New Roman" w:hAnsi="Times New Roman" w:cs="Times New Roman"/>
        </w:rPr>
        <w:t>tandardowym Formularzem Danych (aktualizacja: maj 2024r.) przedmiotami ochrony w ww. obszarze Natura 2000 są: brodziec piskliwy (</w:t>
      </w:r>
      <w:r w:rsidR="008437FE" w:rsidRPr="00D8615A">
        <w:rPr>
          <w:rFonts w:ascii="Times New Roman" w:hAnsi="Times New Roman" w:cs="Times New Roman"/>
          <w:i/>
        </w:rPr>
        <w:t>Actitis hypoleucos</w:t>
      </w:r>
      <w:r w:rsidR="008437FE" w:rsidRPr="00D8615A">
        <w:rPr>
          <w:rFonts w:ascii="Times New Roman" w:hAnsi="Times New Roman" w:cs="Times New Roman"/>
        </w:rPr>
        <w:t>), włochatka (</w:t>
      </w:r>
      <w:r w:rsidR="008437FE" w:rsidRPr="00D8615A">
        <w:rPr>
          <w:rFonts w:ascii="Times New Roman" w:hAnsi="Times New Roman" w:cs="Times New Roman"/>
          <w:i/>
        </w:rPr>
        <w:t>Aegolius funereus</w:t>
      </w:r>
      <w:r w:rsidR="008437FE" w:rsidRPr="00D8615A">
        <w:rPr>
          <w:rFonts w:ascii="Times New Roman" w:hAnsi="Times New Roman" w:cs="Times New Roman"/>
        </w:rPr>
        <w:t>), zimorodek (</w:t>
      </w:r>
      <w:r w:rsidR="008437FE" w:rsidRPr="00D8615A">
        <w:rPr>
          <w:rFonts w:ascii="Times New Roman" w:hAnsi="Times New Roman" w:cs="Times New Roman"/>
          <w:i/>
        </w:rPr>
        <w:t>Alcedo atthis</w:t>
      </w:r>
      <w:r w:rsidR="008437FE" w:rsidRPr="00D8615A">
        <w:rPr>
          <w:rFonts w:ascii="Times New Roman" w:hAnsi="Times New Roman" w:cs="Times New Roman"/>
        </w:rPr>
        <w:t>), puchacz (</w:t>
      </w:r>
      <w:r w:rsidR="008437FE" w:rsidRPr="00D8615A">
        <w:rPr>
          <w:rFonts w:ascii="Times New Roman" w:hAnsi="Times New Roman" w:cs="Times New Roman"/>
          <w:i/>
        </w:rPr>
        <w:t>Bubo bubo</w:t>
      </w:r>
      <w:r w:rsidR="008437FE" w:rsidRPr="00D8615A">
        <w:rPr>
          <w:rFonts w:ascii="Times New Roman" w:hAnsi="Times New Roman" w:cs="Times New Roman"/>
        </w:rPr>
        <w:t>), gągoł (</w:t>
      </w:r>
      <w:r w:rsidR="008437FE" w:rsidRPr="00D8615A">
        <w:rPr>
          <w:rFonts w:ascii="Times New Roman" w:hAnsi="Times New Roman" w:cs="Times New Roman"/>
          <w:i/>
        </w:rPr>
        <w:t>Bucephala clangula</w:t>
      </w:r>
      <w:r w:rsidR="008437FE" w:rsidRPr="00D8615A">
        <w:rPr>
          <w:rFonts w:ascii="Times New Roman" w:hAnsi="Times New Roman" w:cs="Times New Roman"/>
        </w:rPr>
        <w:t>), derkacz (</w:t>
      </w:r>
      <w:r w:rsidR="008437FE" w:rsidRPr="00D8615A">
        <w:rPr>
          <w:rFonts w:ascii="Times New Roman" w:hAnsi="Times New Roman" w:cs="Times New Roman"/>
          <w:i/>
        </w:rPr>
        <w:t>Crex crex</w:t>
      </w:r>
      <w:r w:rsidR="008437FE" w:rsidRPr="00D8615A">
        <w:rPr>
          <w:rFonts w:ascii="Times New Roman" w:hAnsi="Times New Roman" w:cs="Times New Roman"/>
        </w:rPr>
        <w:t xml:space="preserve">), </w:t>
      </w:r>
      <w:r w:rsidR="008437FE" w:rsidRPr="00D8615A">
        <w:rPr>
          <w:rFonts w:ascii="Times New Roman" w:hAnsi="Times New Roman" w:cs="Times New Roman"/>
        </w:rPr>
        <w:lastRenderedPageBreak/>
        <w:t>łabędź krzykliwy (</w:t>
      </w:r>
      <w:r w:rsidR="008437FE" w:rsidRPr="00D8615A">
        <w:rPr>
          <w:rFonts w:ascii="Times New Roman" w:hAnsi="Times New Roman" w:cs="Times New Roman"/>
          <w:i/>
        </w:rPr>
        <w:t>Cygnus cygnus</w:t>
      </w:r>
      <w:r w:rsidR="008437FE" w:rsidRPr="00D8615A">
        <w:rPr>
          <w:rFonts w:ascii="Times New Roman" w:hAnsi="Times New Roman" w:cs="Times New Roman"/>
        </w:rPr>
        <w:t>), sóweczka (</w:t>
      </w:r>
      <w:r w:rsidR="008437FE" w:rsidRPr="00D8615A">
        <w:rPr>
          <w:rFonts w:ascii="Times New Roman" w:hAnsi="Times New Roman" w:cs="Times New Roman"/>
          <w:i/>
        </w:rPr>
        <w:t>Glaucidum passerinum</w:t>
      </w:r>
      <w:r w:rsidR="008437FE" w:rsidRPr="00D8615A">
        <w:rPr>
          <w:rFonts w:ascii="Times New Roman" w:hAnsi="Times New Roman" w:cs="Times New Roman"/>
        </w:rPr>
        <w:t xml:space="preserve">), żuraw </w:t>
      </w:r>
      <w:r w:rsidR="008437FE" w:rsidRPr="00D8615A">
        <w:rPr>
          <w:rFonts w:ascii="Times New Roman" w:hAnsi="Times New Roman" w:cs="Times New Roman"/>
          <w:i/>
        </w:rPr>
        <w:t>(Grus grus</w:t>
      </w:r>
      <w:r w:rsidR="008437FE" w:rsidRPr="00D8615A">
        <w:rPr>
          <w:rFonts w:ascii="Times New Roman" w:hAnsi="Times New Roman" w:cs="Times New Roman"/>
        </w:rPr>
        <w:t>), bielik (</w:t>
      </w:r>
      <w:r w:rsidR="008437FE" w:rsidRPr="00D8615A">
        <w:rPr>
          <w:rFonts w:ascii="Times New Roman" w:hAnsi="Times New Roman" w:cs="Times New Roman"/>
          <w:i/>
        </w:rPr>
        <w:t>Haliaeetus albicilla</w:t>
      </w:r>
      <w:r w:rsidR="008437FE" w:rsidRPr="00D8615A">
        <w:rPr>
          <w:rFonts w:ascii="Times New Roman" w:hAnsi="Times New Roman" w:cs="Times New Roman"/>
        </w:rPr>
        <w:t>), nurogęś (</w:t>
      </w:r>
      <w:r w:rsidR="008437FE" w:rsidRPr="00D8615A">
        <w:rPr>
          <w:rFonts w:ascii="Times New Roman" w:hAnsi="Times New Roman" w:cs="Times New Roman"/>
          <w:i/>
        </w:rPr>
        <w:t>Mergus mergamser</w:t>
      </w:r>
      <w:r w:rsidR="008437FE" w:rsidRPr="00D8615A">
        <w:rPr>
          <w:rFonts w:ascii="Times New Roman" w:hAnsi="Times New Roman" w:cs="Times New Roman"/>
        </w:rPr>
        <w:t>) i kania ruda (</w:t>
      </w:r>
      <w:r w:rsidR="008437FE" w:rsidRPr="00D8615A">
        <w:rPr>
          <w:rFonts w:ascii="Times New Roman" w:hAnsi="Times New Roman" w:cs="Times New Roman"/>
          <w:i/>
        </w:rPr>
        <w:t>Milvus milvus</w:t>
      </w:r>
      <w:r w:rsidR="008437FE" w:rsidRPr="00D8615A">
        <w:rPr>
          <w:rFonts w:ascii="Times New Roman" w:hAnsi="Times New Roman" w:cs="Times New Roman"/>
        </w:rPr>
        <w:t xml:space="preserve">). Zagrożeniami </w:t>
      </w:r>
      <w:r w:rsidR="00A04FFC" w:rsidRPr="00D8615A">
        <w:rPr>
          <w:rFonts w:ascii="Times New Roman" w:hAnsi="Times New Roman" w:cs="Times New Roman"/>
        </w:rPr>
        <w:t xml:space="preserve">dla obszaru zidentyfikowanymi w SFD są </w:t>
      </w:r>
      <w:r w:rsidR="00AE110D" w:rsidRPr="00D8615A">
        <w:rPr>
          <w:rFonts w:ascii="Times New Roman" w:hAnsi="Times New Roman" w:cs="Times New Roman"/>
        </w:rPr>
        <w:t>m.in.: sporty i różne formy czynnego wypoczynku</w:t>
      </w:r>
      <w:r w:rsidR="00450EA2" w:rsidRPr="00D8615A">
        <w:rPr>
          <w:rFonts w:ascii="Times New Roman" w:hAnsi="Times New Roman" w:cs="Times New Roman"/>
        </w:rPr>
        <w:t>, rekreacji</w:t>
      </w:r>
      <w:r w:rsidR="00AE110D" w:rsidRPr="00D8615A">
        <w:rPr>
          <w:rFonts w:ascii="Times New Roman" w:hAnsi="Times New Roman" w:cs="Times New Roman"/>
        </w:rPr>
        <w:t xml:space="preserve"> uprawiane w plenerze</w:t>
      </w:r>
      <w:r w:rsidR="00450EA2" w:rsidRPr="00D8615A">
        <w:rPr>
          <w:rFonts w:ascii="Times New Roman" w:hAnsi="Times New Roman" w:cs="Times New Roman"/>
        </w:rPr>
        <w:t>,</w:t>
      </w:r>
      <w:r w:rsidR="00AE110D" w:rsidRPr="00D8615A">
        <w:rPr>
          <w:rFonts w:ascii="Times New Roman" w:hAnsi="Times New Roman" w:cs="Times New Roman"/>
        </w:rPr>
        <w:t xml:space="preserve"> polowanie, zabudowa rozproszona, pozbywanie się odpadów z gospodarstw </w:t>
      </w:r>
      <w:r w:rsidR="00450EA2" w:rsidRPr="00D8615A">
        <w:rPr>
          <w:rFonts w:ascii="Times New Roman" w:hAnsi="Times New Roman" w:cs="Times New Roman"/>
        </w:rPr>
        <w:t xml:space="preserve">domowych i obiektów </w:t>
      </w:r>
      <w:r w:rsidR="005A2D5A" w:rsidRPr="00D8615A">
        <w:rPr>
          <w:rFonts w:ascii="Times New Roman" w:hAnsi="Times New Roman" w:cs="Times New Roman"/>
        </w:rPr>
        <w:t>rekreacyjnych, wędkarstwo, leśnictwo, drapieżnictwo, zbieractwo grzybów, porostów, jagód itp., produkcja energii wiatrowej, napowietrzne linie elektryczne i telefoniczne, koszenie i ścinanie trawy pod gru</w:t>
      </w:r>
      <w:r w:rsidR="00CF4B3E" w:rsidRPr="00D8615A">
        <w:rPr>
          <w:rFonts w:ascii="Times New Roman" w:hAnsi="Times New Roman" w:cs="Times New Roman"/>
        </w:rPr>
        <w:t xml:space="preserve">nty orne, obserwowanie przyrody, inne zmiany ekosystemu, zalewanie </w:t>
      </w:r>
      <w:r w:rsidR="003D15C0" w:rsidRPr="00D8615A">
        <w:rPr>
          <w:rFonts w:ascii="Times New Roman" w:hAnsi="Times New Roman" w:cs="Times New Roman"/>
        </w:rPr>
        <w:t xml:space="preserve">oraz zanieczyszczanie wód powierzchniowych (limnicznych i lądowych). Dla obszaru Natura 2000 Dolina Słupi PLB220002 ustanowiony został plan zadań ochronnych zarządzeniem Regionalnego Dyrektora Ochrony Środowiska </w:t>
      </w:r>
      <w:r w:rsidR="002F2902" w:rsidRPr="00D8615A">
        <w:rPr>
          <w:rFonts w:ascii="Times New Roman" w:hAnsi="Times New Roman" w:cs="Times New Roman"/>
        </w:rPr>
        <w:t>w Gdańsku z dnia 21 stycznia 2020 r. (Dz. Urz. Woj. Pom. Z 2022r., poz. 3482).</w:t>
      </w:r>
    </w:p>
    <w:p w:rsidR="002F2902" w:rsidRPr="00D8615A" w:rsidRDefault="002F2902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Z informacji zawartych w KIP wynika, że na terenie sąsiadujących upraw rolnych zaobserwowano obecność pary żurawi. Obszar ten stanowi również miejsce zerowania ptaków zalatujących z pobliskich terenów zalesionych. W trakcie żniw lub orki wyróżnić można obecność gatunków ptaków wykorzystujących okolicę jako miejsce żerowania: żurawia i kani rudej, będących przedmiotami ochrony obszaru Natura 2000 Dolina Słupi PLB220002, a także skowronka polnego (</w:t>
      </w:r>
      <w:r w:rsidRPr="00D8615A">
        <w:rPr>
          <w:rFonts w:ascii="Times New Roman" w:hAnsi="Times New Roman" w:cs="Times New Roman"/>
          <w:i/>
        </w:rPr>
        <w:t>Alauda arvensis</w:t>
      </w:r>
      <w:r w:rsidRPr="00D8615A">
        <w:rPr>
          <w:rFonts w:ascii="Times New Roman" w:hAnsi="Times New Roman" w:cs="Times New Roman"/>
        </w:rPr>
        <w:t xml:space="preserve">), bociana białego </w:t>
      </w:r>
      <w:r w:rsidR="00F54F58" w:rsidRPr="00D8615A">
        <w:rPr>
          <w:rFonts w:ascii="Times New Roman" w:hAnsi="Times New Roman" w:cs="Times New Roman"/>
        </w:rPr>
        <w:t>(</w:t>
      </w:r>
      <w:r w:rsidR="00F54F58" w:rsidRPr="00D8615A">
        <w:rPr>
          <w:rFonts w:ascii="Times New Roman" w:hAnsi="Times New Roman" w:cs="Times New Roman"/>
          <w:i/>
        </w:rPr>
        <w:t>Ciconia ciconia</w:t>
      </w:r>
      <w:r w:rsidR="00F54F58" w:rsidRPr="00D8615A">
        <w:rPr>
          <w:rFonts w:ascii="Times New Roman" w:hAnsi="Times New Roman" w:cs="Times New Roman"/>
        </w:rPr>
        <w:t>) i trznadla (</w:t>
      </w:r>
      <w:r w:rsidR="00F54F58" w:rsidRPr="00D8615A">
        <w:rPr>
          <w:rFonts w:ascii="Times New Roman" w:hAnsi="Times New Roman" w:cs="Times New Roman"/>
          <w:i/>
        </w:rPr>
        <w:t>Emberiza citrinella</w:t>
      </w:r>
      <w:r w:rsidR="00F54F58" w:rsidRPr="00D8615A">
        <w:rPr>
          <w:rFonts w:ascii="Times New Roman" w:hAnsi="Times New Roman" w:cs="Times New Roman"/>
        </w:rPr>
        <w:t xml:space="preserve">). Zgodnie z KIP, w okresie wędrówkowym w okolicy migruje wiele gatunków ptaków. Dla zdecydowanej większości z nich jest to wyłącznie przypadkowe miejsce przelotu. Potencjalne żerowiska i miejsca lęgowe zwierząt występować mogą na działkach sąsiadujących z terenem inwestycyjnym, szczególnie w obrębie najbliższego kompleksu leśnego. Żerowiska i miejsca lęgu pozostaną nienaruszone, a potencjalne miejsca gniazdowania nie zostaną usunięte. Analiza sprecyzowanego przez Wnioskodawcę zakresu przedsięwzięcia nie wykazuje, aby planowana inwestycja była sprzeczna z obowiązującymi celami </w:t>
      </w:r>
      <w:r w:rsidR="00D762EA" w:rsidRPr="00D8615A">
        <w:rPr>
          <w:rFonts w:ascii="Times New Roman" w:hAnsi="Times New Roman" w:cs="Times New Roman"/>
        </w:rPr>
        <w:t xml:space="preserve">działań ochronnych dla </w:t>
      </w:r>
      <w:r w:rsidR="00131349" w:rsidRPr="00D8615A">
        <w:rPr>
          <w:rFonts w:ascii="Times New Roman" w:hAnsi="Times New Roman" w:cs="Times New Roman"/>
        </w:rPr>
        <w:t xml:space="preserve">żurawia i kani rudej. Cele działań ochronnych, w tym utrzymanie przelotnej populacji na co najmniej obecnym poziomie i utrzymanie właściwych warunków występowania oraz właściwego stanu zachowania siedlisk gatunku, nie będą zagrożone na skutek realizacji przedsięwzięcia. </w:t>
      </w:r>
    </w:p>
    <w:p w:rsidR="00131349" w:rsidRPr="00D8615A" w:rsidRDefault="00131349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Innymi najbliżej położonymi obszarami Natura 2000 są:</w:t>
      </w:r>
    </w:p>
    <w:p w:rsidR="00131349" w:rsidRPr="00D8615A" w:rsidRDefault="00131349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ok. 0,2 km na południe Dolina Słupi PLH220052;</w:t>
      </w:r>
    </w:p>
    <w:p w:rsidR="00131349" w:rsidRPr="00D8615A" w:rsidRDefault="00131349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ok. 9,8 km na wschód Bytowskie Jeziora Lobeliowe PLH220005.</w:t>
      </w:r>
    </w:p>
    <w:p w:rsidR="00131349" w:rsidRPr="00D8615A" w:rsidRDefault="00131349" w:rsidP="00100E9B">
      <w:pPr>
        <w:jc w:val="both"/>
        <w:rPr>
          <w:rFonts w:ascii="Times New Roman" w:hAnsi="Times New Roman" w:cs="Times New Roman"/>
          <w:u w:val="single"/>
        </w:rPr>
      </w:pPr>
      <w:r w:rsidRPr="00D8615A">
        <w:rPr>
          <w:rFonts w:ascii="Times New Roman" w:hAnsi="Times New Roman" w:cs="Times New Roman"/>
        </w:rPr>
        <w:t xml:space="preserve">W opinii tutejszego Organu planowana inwestycja nie będzie negatywnie oddziaływać na wszystkie ww. obszary natura 2000. Z uwagi na usytuowanie </w:t>
      </w:r>
      <w:r w:rsidR="00D77823" w:rsidRPr="00D8615A">
        <w:rPr>
          <w:rFonts w:ascii="Times New Roman" w:hAnsi="Times New Roman" w:cs="Times New Roman"/>
        </w:rPr>
        <w:t xml:space="preserve">przedsięwzięcia oraz charakter i zakres planowanej </w:t>
      </w:r>
      <w:r w:rsidR="00C348E8" w:rsidRPr="00D8615A">
        <w:rPr>
          <w:rFonts w:ascii="Times New Roman" w:hAnsi="Times New Roman" w:cs="Times New Roman"/>
        </w:rPr>
        <w:t xml:space="preserve">inwestycji, nie spowoduje ona utraty powierzchni ani fragmentacji siedlisk przyrodniczych oraz siedlisk gatunków roślin i zwierząt chronionych w granicach ww. obszarów Natura 2000. Lokalizacja przedsięwzięcia wyklucza również jego wpływ na warunki ekologiczne ostoi. Tym samym nie pogorszy stanu ochrony siedlisk przyrodniczych i siedlisk gatunków chronionych w granicach ww. obszarów Natura 2000, nie zaburzy integralności poszczególnych obszarów Natura 2000 ani sieci Natura 2000 jako całości. Inwestycja nie wpłynie na realizację celów działań ochronnych. Tym samym </w:t>
      </w:r>
      <w:r w:rsidR="00C348E8" w:rsidRPr="00D8615A">
        <w:rPr>
          <w:rFonts w:ascii="Times New Roman" w:hAnsi="Times New Roman" w:cs="Times New Roman"/>
          <w:u w:val="single"/>
        </w:rPr>
        <w:t>nie jest więc konieczne przeprowadzenie oceny w trybie art. 6.3 Dyrektywy Rady 92/43/EWG.</w:t>
      </w:r>
    </w:p>
    <w:p w:rsidR="00C348E8" w:rsidRPr="00D8615A" w:rsidRDefault="00C348E8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Innym najbliżej położonym obszarem objętym </w:t>
      </w:r>
      <w:r w:rsidR="003348F8" w:rsidRPr="00D8615A">
        <w:rPr>
          <w:rFonts w:ascii="Times New Roman" w:hAnsi="Times New Roman" w:cs="Times New Roman"/>
        </w:rPr>
        <w:t>ochroną na podstawie przepisów ustawy z dnia 16 kwietnia 2004r. o ochronie przyrody (</w:t>
      </w:r>
      <w:proofErr w:type="spellStart"/>
      <w:r w:rsidR="003348F8" w:rsidRPr="00D8615A">
        <w:rPr>
          <w:rFonts w:ascii="Times New Roman" w:hAnsi="Times New Roman" w:cs="Times New Roman"/>
        </w:rPr>
        <w:t>t.j</w:t>
      </w:r>
      <w:proofErr w:type="spellEnd"/>
      <w:r w:rsidR="003348F8" w:rsidRPr="00D8615A">
        <w:rPr>
          <w:rFonts w:ascii="Times New Roman" w:hAnsi="Times New Roman" w:cs="Times New Roman"/>
        </w:rPr>
        <w:t>. Dz. U. z 2024r., poz. 1478) w odległości 5 km od terenu</w:t>
      </w:r>
      <w:r w:rsidR="003348F8">
        <w:t xml:space="preserve"> inwestycji jest otulina rezerwatu przyrody Grodzisko Borzytuchom, położona ok. 2,0 km w kierunku </w:t>
      </w:r>
      <w:r w:rsidR="003348F8" w:rsidRPr="00D8615A">
        <w:rPr>
          <w:rFonts w:ascii="Times New Roman" w:hAnsi="Times New Roman" w:cs="Times New Roman"/>
        </w:rPr>
        <w:t xml:space="preserve">wschodnim oraz rezerwat przyrody Grodzisko Borzytuchom w odległości ok. 2,8 km. </w:t>
      </w:r>
    </w:p>
    <w:p w:rsidR="003348F8" w:rsidRPr="00D8615A" w:rsidRDefault="003348F8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Przedsięwzięcie położone jest w granicach korytarza ekologicznego Puszcza Koszalińska GKPn-18.</w:t>
      </w:r>
    </w:p>
    <w:p w:rsidR="003348F8" w:rsidRPr="00D8615A" w:rsidRDefault="003348F8" w:rsidP="00100E9B">
      <w:pPr>
        <w:jc w:val="both"/>
        <w:rPr>
          <w:rFonts w:ascii="Times New Roman" w:hAnsi="Times New Roman" w:cs="Times New Roman"/>
          <w:b/>
        </w:rPr>
      </w:pPr>
      <w:r>
        <w:rPr>
          <w:b/>
        </w:rPr>
        <w:t>III</w:t>
      </w:r>
    </w:p>
    <w:p w:rsidR="003348F8" w:rsidRPr="00D8615A" w:rsidRDefault="003348F8" w:rsidP="00100E9B">
      <w:pPr>
        <w:jc w:val="both"/>
        <w:rPr>
          <w:rFonts w:ascii="Times New Roman" w:hAnsi="Times New Roman" w:cs="Times New Roman"/>
          <w:b/>
        </w:rPr>
      </w:pPr>
      <w:r w:rsidRPr="00D8615A">
        <w:rPr>
          <w:rFonts w:ascii="Times New Roman" w:hAnsi="Times New Roman" w:cs="Times New Roman"/>
          <w:b/>
        </w:rPr>
        <w:lastRenderedPageBreak/>
        <w:t>Rodzaj i skalę możliwego oddziaływania na elementy środowiska zarówno na etapie realizacji przedsięwzięcia jak i jego funkcjonowania</w:t>
      </w:r>
    </w:p>
    <w:p w:rsidR="003348F8" w:rsidRPr="00D8615A" w:rsidRDefault="003348F8" w:rsidP="00100E9B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Tutejszy Organ przy zajęciu stanowiska w przedmiotowej sprawie wziął pod uwagę poniższe:</w:t>
      </w:r>
    </w:p>
    <w:p w:rsidR="003348F8" w:rsidRPr="00D8615A" w:rsidRDefault="003348F8" w:rsidP="004539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rodzaj, skalę i charakter przedsięwzięcia – budowa 33 budynków mieszkalnych jednorodzinnych, wraz z infrastrukturą towarzyszącą, na łącznej powierzchni ok. 4,85 ha;</w:t>
      </w:r>
    </w:p>
    <w:p w:rsidR="00453977" w:rsidRPr="00D8615A" w:rsidRDefault="00374990" w:rsidP="004539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usytuowanie przedsięwzięcia:</w:t>
      </w:r>
    </w:p>
    <w:p w:rsidR="00453977" w:rsidRPr="00D8615A" w:rsidRDefault="00453977" w:rsidP="00453977">
      <w:pPr>
        <w:pStyle w:val="Akapitzlist"/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w granicach Parku Krajobrazowego Dolina Słupi;</w:t>
      </w:r>
    </w:p>
    <w:p w:rsidR="00453977" w:rsidRPr="00D8615A" w:rsidRDefault="00453977" w:rsidP="00453977">
      <w:pPr>
        <w:pStyle w:val="Akapitzlist"/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- w granicach obszaru Natura 2000 Dolina Słupi PLB220002</w:t>
      </w:r>
    </w:p>
    <w:p w:rsidR="00453977" w:rsidRPr="00D8615A" w:rsidRDefault="00453977" w:rsidP="004539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potencjalny negatywny wpływ przedsięwzięcia na cele ochrony Parku Krajobrazowego Dolina Słupi</w:t>
      </w:r>
      <w:r w:rsidR="009E6F9B" w:rsidRPr="00D8615A">
        <w:rPr>
          <w:rFonts w:ascii="Times New Roman" w:hAnsi="Times New Roman" w:cs="Times New Roman"/>
        </w:rPr>
        <w:t>;</w:t>
      </w:r>
    </w:p>
    <w:p w:rsidR="00453977" w:rsidRPr="00D8615A" w:rsidRDefault="00453977" w:rsidP="004539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możliwe wystąpienie negatywnego wpływu na warunki bytowania (żerowanie, rozród, miejsca przystankowe dla gatunków migrujących) chronionych gatunków zwierząt;</w:t>
      </w:r>
    </w:p>
    <w:p w:rsidR="00453977" w:rsidRPr="00D8615A" w:rsidRDefault="00453977" w:rsidP="004539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emisja do środowiska hałasu, gazów i pyłów do powietrza, związana głównie z wykorzystywaniem sprzętu mechanicznego i urządzeń.</w:t>
      </w:r>
    </w:p>
    <w:p w:rsidR="00453977" w:rsidRPr="00D8615A" w:rsidRDefault="00453977" w:rsidP="00453977">
      <w:pPr>
        <w:jc w:val="both"/>
        <w:rPr>
          <w:rFonts w:ascii="Times New Roman" w:hAnsi="Times New Roman" w:cs="Times New Roman"/>
        </w:rPr>
      </w:pPr>
    </w:p>
    <w:p w:rsidR="00453977" w:rsidRPr="00D8615A" w:rsidRDefault="00453977" w:rsidP="00453977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 xml:space="preserve">Reasumując, po dokonaniu </w:t>
      </w:r>
      <w:r w:rsidR="003D7E27" w:rsidRPr="00D8615A">
        <w:rPr>
          <w:rFonts w:ascii="Times New Roman" w:hAnsi="Times New Roman" w:cs="Times New Roman"/>
        </w:rPr>
        <w:t xml:space="preserve">analizy powyższych uwarunkowań, uwzględniając </w:t>
      </w:r>
      <w:r w:rsidR="009E6F9B" w:rsidRPr="00D8615A">
        <w:rPr>
          <w:rFonts w:ascii="Times New Roman" w:hAnsi="Times New Roman" w:cs="Times New Roman"/>
        </w:rPr>
        <w:t xml:space="preserve">usytuowanie, a także rodzaj i skalę możliwego oddziaływania inwestycji, tutejszy Organ </w:t>
      </w:r>
      <w:r w:rsidR="00C0403A" w:rsidRPr="00D8615A">
        <w:rPr>
          <w:rFonts w:ascii="Times New Roman" w:hAnsi="Times New Roman" w:cs="Times New Roman"/>
        </w:rPr>
        <w:t>uznał, iż konieczne będzie przeprowadzenie oceny oddziaływania na środowisko, wymaganej art. 63 ustawy ooś, oraz sporządzenie raportu w zakresie określonym w art. 66 ustawy ooś. Z uwagi na brak sprzeczności przedmiotowej inwestycji z celami działań ochronnych dla przedmiotów ochrony w obszarze Natura 2000 Dolina Słupi PLB220002, nie jest konieczne przeprowadzenie oceny w trybie art. 6.3 Dyrektywy Rady 92/43/EWG.</w:t>
      </w:r>
    </w:p>
    <w:p w:rsidR="00D8615A" w:rsidRPr="00D8615A" w:rsidRDefault="00D8615A" w:rsidP="00453977">
      <w:pPr>
        <w:jc w:val="both"/>
        <w:rPr>
          <w:rFonts w:ascii="Times New Roman" w:hAnsi="Times New Roman" w:cs="Times New Roman"/>
        </w:rPr>
      </w:pPr>
    </w:p>
    <w:p w:rsidR="00D8615A" w:rsidRPr="00D8615A" w:rsidRDefault="00D8615A" w:rsidP="00453977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W związku z powyższym postanowiono jak w sentencji</w:t>
      </w:r>
    </w:p>
    <w:p w:rsidR="00D8615A" w:rsidRPr="00D8615A" w:rsidRDefault="00D8615A" w:rsidP="00453977">
      <w:pPr>
        <w:jc w:val="both"/>
        <w:rPr>
          <w:rFonts w:ascii="Times New Roman" w:hAnsi="Times New Roman" w:cs="Times New Roman"/>
        </w:rPr>
      </w:pPr>
    </w:p>
    <w:p w:rsidR="00D8615A" w:rsidRPr="00D8615A" w:rsidRDefault="00D8615A" w:rsidP="00D8615A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 w:rsidRPr="00D8615A">
        <w:rPr>
          <w:rFonts w:ascii="Times New Roman" w:hAnsi="Times New Roman" w:cs="Times New Roman"/>
          <w:b/>
          <w:bCs/>
          <w:sz w:val="22"/>
          <w:szCs w:val="22"/>
        </w:rPr>
        <w:t>POUCZENIE</w:t>
      </w:r>
    </w:p>
    <w:p w:rsidR="00D8615A" w:rsidRPr="00D8615A" w:rsidRDefault="00D8615A" w:rsidP="00D8615A">
      <w:pPr>
        <w:jc w:val="both"/>
        <w:rPr>
          <w:rFonts w:ascii="Times New Roman" w:hAnsi="Times New Roman" w:cs="Times New Roman"/>
        </w:rPr>
      </w:pPr>
      <w:r w:rsidRPr="00D8615A">
        <w:rPr>
          <w:rFonts w:ascii="Times New Roman" w:hAnsi="Times New Roman" w:cs="Times New Roman"/>
        </w:rPr>
        <w:t>Na niniejsze postanowienie służy</w:t>
      </w:r>
      <w:r w:rsidR="00C76922">
        <w:rPr>
          <w:rFonts w:ascii="Times New Roman" w:hAnsi="Times New Roman" w:cs="Times New Roman"/>
        </w:rPr>
        <w:t xml:space="preserve"> stronom</w:t>
      </w:r>
      <w:r w:rsidRPr="00D8615A">
        <w:rPr>
          <w:rFonts w:ascii="Times New Roman" w:hAnsi="Times New Roman" w:cs="Times New Roman"/>
        </w:rPr>
        <w:t xml:space="preserve"> zażalenie do Samorządowego Kolegium Odwoławczego w Słupsku za po</w:t>
      </w:r>
      <w:r w:rsidR="00C76922">
        <w:rPr>
          <w:rFonts w:ascii="Times New Roman" w:hAnsi="Times New Roman" w:cs="Times New Roman"/>
        </w:rPr>
        <w:t>średnictwem Wójta Gminy Borzytuchom</w:t>
      </w:r>
      <w:r w:rsidRPr="00D8615A">
        <w:rPr>
          <w:rFonts w:ascii="Times New Roman" w:hAnsi="Times New Roman" w:cs="Times New Roman"/>
        </w:rPr>
        <w:t>, w terminie do 7 dni od</w:t>
      </w:r>
      <w:r w:rsidR="00C76922">
        <w:rPr>
          <w:rFonts w:ascii="Times New Roman" w:hAnsi="Times New Roman" w:cs="Times New Roman"/>
        </w:rPr>
        <w:t xml:space="preserve"> otrzymania niniejszego postanowienia (art.141 § 1 KP</w:t>
      </w:r>
      <w:r w:rsidR="00F3420E">
        <w:rPr>
          <w:rFonts w:ascii="Times New Roman" w:hAnsi="Times New Roman" w:cs="Times New Roman"/>
        </w:rPr>
        <w:t>A</w:t>
      </w:r>
      <w:r w:rsidR="00C76922">
        <w:rPr>
          <w:rFonts w:ascii="Times New Roman" w:hAnsi="Times New Roman" w:cs="Times New Roman"/>
        </w:rPr>
        <w:t>)</w:t>
      </w:r>
      <w:r w:rsidRPr="00D8615A">
        <w:rPr>
          <w:rFonts w:ascii="Times New Roman" w:hAnsi="Times New Roman" w:cs="Times New Roman"/>
        </w:rPr>
        <w:t>.</w:t>
      </w:r>
    </w:p>
    <w:p w:rsidR="00453977" w:rsidRDefault="00453977" w:rsidP="00453977">
      <w:pPr>
        <w:jc w:val="both"/>
        <w:rPr>
          <w:rFonts w:ascii="Times New Roman" w:hAnsi="Times New Roman" w:cs="Times New Roman"/>
        </w:rPr>
      </w:pPr>
    </w:p>
    <w:p w:rsidR="00D8615A" w:rsidRPr="00C76922" w:rsidRDefault="00D8615A" w:rsidP="00D8615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76922">
        <w:rPr>
          <w:rFonts w:ascii="Times New Roman" w:hAnsi="Times New Roman" w:cs="Times New Roman"/>
          <w:sz w:val="22"/>
          <w:szCs w:val="22"/>
        </w:rPr>
        <w:t xml:space="preserve">Otrzymują: </w:t>
      </w:r>
    </w:p>
    <w:p w:rsidR="00D8615A" w:rsidRPr="00C76922" w:rsidRDefault="00D8615A" w:rsidP="00D8615A">
      <w:pPr>
        <w:pStyle w:val="Default"/>
        <w:spacing w:after="152"/>
        <w:rPr>
          <w:rFonts w:ascii="Times New Roman" w:hAnsi="Times New Roman" w:cs="Times New Roman"/>
          <w:sz w:val="22"/>
          <w:szCs w:val="22"/>
        </w:rPr>
      </w:pPr>
      <w:r w:rsidRPr="00C76922">
        <w:rPr>
          <w:rFonts w:ascii="Times New Roman" w:hAnsi="Times New Roman" w:cs="Times New Roman"/>
          <w:sz w:val="22"/>
          <w:szCs w:val="22"/>
        </w:rPr>
        <w:t xml:space="preserve">1. Inwestor (adres w aktach sprawy), </w:t>
      </w:r>
    </w:p>
    <w:p w:rsidR="00D8615A" w:rsidRPr="00C76922" w:rsidRDefault="00D8615A" w:rsidP="00D8615A">
      <w:pPr>
        <w:pStyle w:val="Default"/>
        <w:spacing w:after="152"/>
        <w:rPr>
          <w:rFonts w:ascii="Times New Roman" w:hAnsi="Times New Roman" w:cs="Times New Roman"/>
          <w:sz w:val="22"/>
          <w:szCs w:val="22"/>
        </w:rPr>
      </w:pPr>
      <w:r w:rsidRPr="00C76922">
        <w:rPr>
          <w:rFonts w:ascii="Times New Roman" w:hAnsi="Times New Roman" w:cs="Times New Roman"/>
          <w:sz w:val="22"/>
          <w:szCs w:val="22"/>
        </w:rPr>
        <w:t>2. Strony postępowania poprzez obwieszczenie w trybie art. 49 § 1 Kpa (BIP Urzę</w:t>
      </w:r>
      <w:r w:rsidR="00B40670" w:rsidRPr="00C76922">
        <w:rPr>
          <w:rFonts w:ascii="Times New Roman" w:hAnsi="Times New Roman" w:cs="Times New Roman"/>
          <w:sz w:val="22"/>
          <w:szCs w:val="22"/>
        </w:rPr>
        <w:t>du Gminy Borzytuchom</w:t>
      </w:r>
      <w:r w:rsidRPr="00C76922">
        <w:rPr>
          <w:rFonts w:ascii="Times New Roman" w:hAnsi="Times New Roman" w:cs="Times New Roman"/>
          <w:sz w:val="22"/>
          <w:szCs w:val="22"/>
        </w:rPr>
        <w:t xml:space="preserve">), </w:t>
      </w:r>
    </w:p>
    <w:p w:rsidR="00D8615A" w:rsidRPr="00C76922" w:rsidRDefault="00B40670" w:rsidP="00D8615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76922">
        <w:rPr>
          <w:rFonts w:ascii="Times New Roman" w:hAnsi="Times New Roman" w:cs="Times New Roman"/>
          <w:sz w:val="22"/>
          <w:szCs w:val="22"/>
        </w:rPr>
        <w:t>3</w:t>
      </w:r>
      <w:r w:rsidR="00D8615A" w:rsidRPr="00C76922">
        <w:rPr>
          <w:rFonts w:ascii="Times New Roman" w:hAnsi="Times New Roman" w:cs="Times New Roman"/>
          <w:sz w:val="22"/>
          <w:szCs w:val="22"/>
        </w:rPr>
        <w:t xml:space="preserve">. a/a. </w:t>
      </w:r>
    </w:p>
    <w:p w:rsidR="00D8615A" w:rsidRPr="00C76922" w:rsidRDefault="00D8615A" w:rsidP="00D8615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D8615A" w:rsidRPr="00C76922" w:rsidRDefault="00D8615A" w:rsidP="00D8615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76922">
        <w:rPr>
          <w:rFonts w:ascii="Times New Roman" w:hAnsi="Times New Roman" w:cs="Times New Roman"/>
          <w:sz w:val="22"/>
          <w:szCs w:val="22"/>
        </w:rPr>
        <w:t xml:space="preserve">Do wiadomości: </w:t>
      </w:r>
    </w:p>
    <w:p w:rsidR="00D8615A" w:rsidRPr="00C76922" w:rsidRDefault="00D8615A" w:rsidP="00D8615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76922">
        <w:rPr>
          <w:rFonts w:ascii="Times New Roman" w:hAnsi="Times New Roman" w:cs="Times New Roman"/>
          <w:sz w:val="22"/>
          <w:szCs w:val="22"/>
        </w:rPr>
        <w:t xml:space="preserve">1. Regionalny Dyrektor Ochrony Środowiska w Gdańsku, ul. Chmielna 54/57, 80-748 Gdańsk, </w:t>
      </w:r>
    </w:p>
    <w:p w:rsidR="00D8615A" w:rsidRPr="00C76922" w:rsidRDefault="00D8615A" w:rsidP="00D8615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C76922">
        <w:rPr>
          <w:rFonts w:ascii="Times New Roman" w:hAnsi="Times New Roman" w:cs="Times New Roman"/>
          <w:sz w:val="22"/>
          <w:szCs w:val="22"/>
        </w:rPr>
        <w:t xml:space="preserve">2. Państwowy Powiatowy Inspektor Sanitarny w Bytowie, ul. Sikorskiego 27, 77-100 Bytów, </w:t>
      </w:r>
    </w:p>
    <w:p w:rsidR="00D8615A" w:rsidRPr="00C76922" w:rsidRDefault="00D8615A" w:rsidP="00D8615A">
      <w:pPr>
        <w:jc w:val="both"/>
        <w:rPr>
          <w:rFonts w:ascii="Times New Roman" w:hAnsi="Times New Roman" w:cs="Times New Roman"/>
        </w:rPr>
      </w:pPr>
      <w:r w:rsidRPr="00C76922">
        <w:rPr>
          <w:rFonts w:ascii="Times New Roman" w:hAnsi="Times New Roman" w:cs="Times New Roman"/>
        </w:rPr>
        <w:t>3. Państwowe Gospodarstwo Wodne Wody Polskie Zarząd Zlewni w Gdańsku, Al. Grunwaldzka 184, 80-266 Gdańsk.</w:t>
      </w:r>
    </w:p>
    <w:p w:rsidR="00D8615A" w:rsidRDefault="00890664" w:rsidP="00890664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z up. Wójta</w:t>
      </w:r>
    </w:p>
    <w:p w:rsidR="00890664" w:rsidRDefault="00890664" w:rsidP="0089066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inż. Leszek Szachta</w:t>
      </w:r>
    </w:p>
    <w:p w:rsidR="00890664" w:rsidRPr="00D8615A" w:rsidRDefault="00890664" w:rsidP="00890664">
      <w:pPr>
        <w:jc w:val="right"/>
        <w:rPr>
          <w:rFonts w:ascii="Times New Roman" w:hAnsi="Times New Roman" w:cs="Times New Roman"/>
        </w:rPr>
      </w:pPr>
    </w:p>
    <w:p w:rsidR="00453977" w:rsidRPr="00D8615A" w:rsidRDefault="00453977" w:rsidP="00453977">
      <w:pPr>
        <w:pStyle w:val="Akapitzlist"/>
        <w:jc w:val="both"/>
        <w:rPr>
          <w:rFonts w:ascii="Times New Roman" w:hAnsi="Times New Roman" w:cs="Times New Roman"/>
        </w:rPr>
      </w:pPr>
    </w:p>
    <w:p w:rsidR="00453977" w:rsidRDefault="00453977" w:rsidP="00453977">
      <w:pPr>
        <w:jc w:val="both"/>
      </w:pPr>
    </w:p>
    <w:p w:rsidR="00453977" w:rsidRDefault="00453977" w:rsidP="00453977">
      <w:pPr>
        <w:jc w:val="both"/>
      </w:pPr>
    </w:p>
    <w:p w:rsidR="0090381D" w:rsidRPr="00CE41DB" w:rsidRDefault="0090381D" w:rsidP="00453977">
      <w:pPr>
        <w:pStyle w:val="Akapitzlist"/>
        <w:jc w:val="both"/>
      </w:pPr>
    </w:p>
    <w:p w:rsidR="00A013F8" w:rsidRDefault="00A013F8" w:rsidP="00A013F8">
      <w:pPr>
        <w:jc w:val="both"/>
      </w:pPr>
    </w:p>
    <w:sectPr w:rsidR="00A013F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6F8" w:rsidRDefault="002C36F8" w:rsidP="00E8698D">
      <w:pPr>
        <w:spacing w:after="0" w:line="240" w:lineRule="auto"/>
      </w:pPr>
      <w:r>
        <w:separator/>
      </w:r>
    </w:p>
  </w:endnote>
  <w:endnote w:type="continuationSeparator" w:id="0">
    <w:p w:rsidR="002C36F8" w:rsidRDefault="002C36F8" w:rsidP="00E86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48724350"/>
      <w:docPartObj>
        <w:docPartGallery w:val="Page Numbers (Bottom of Page)"/>
        <w:docPartUnique/>
      </w:docPartObj>
    </w:sdtPr>
    <w:sdtEndPr/>
    <w:sdtContent>
      <w:p w:rsidR="00007469" w:rsidRDefault="0000746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664">
          <w:rPr>
            <w:noProof/>
          </w:rPr>
          <w:t>6</w:t>
        </w:r>
        <w:r>
          <w:fldChar w:fldCharType="end"/>
        </w:r>
      </w:p>
    </w:sdtContent>
  </w:sdt>
  <w:p w:rsidR="00007469" w:rsidRDefault="000074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6F8" w:rsidRDefault="002C36F8" w:rsidP="00E8698D">
      <w:pPr>
        <w:spacing w:after="0" w:line="240" w:lineRule="auto"/>
      </w:pPr>
      <w:r>
        <w:separator/>
      </w:r>
    </w:p>
  </w:footnote>
  <w:footnote w:type="continuationSeparator" w:id="0">
    <w:p w:rsidR="002C36F8" w:rsidRDefault="002C36F8" w:rsidP="00E869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78F8"/>
    <w:multiLevelType w:val="hybridMultilevel"/>
    <w:tmpl w:val="F928FD52"/>
    <w:lvl w:ilvl="0" w:tplc="FA005D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D683A"/>
    <w:multiLevelType w:val="hybridMultilevel"/>
    <w:tmpl w:val="9C8E9B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F69A8"/>
    <w:multiLevelType w:val="hybridMultilevel"/>
    <w:tmpl w:val="CC601AE2"/>
    <w:lvl w:ilvl="0" w:tplc="9A04FC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762CE"/>
    <w:multiLevelType w:val="hybridMultilevel"/>
    <w:tmpl w:val="A2FE948E"/>
    <w:lvl w:ilvl="0" w:tplc="94446A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9717F2"/>
    <w:multiLevelType w:val="hybridMultilevel"/>
    <w:tmpl w:val="C9148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2C765A"/>
    <w:multiLevelType w:val="hybridMultilevel"/>
    <w:tmpl w:val="F084A4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132CAD"/>
    <w:multiLevelType w:val="hybridMultilevel"/>
    <w:tmpl w:val="262A68FA"/>
    <w:lvl w:ilvl="0" w:tplc="34621D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4C"/>
    <w:rsid w:val="00007469"/>
    <w:rsid w:val="00007DCF"/>
    <w:rsid w:val="00070740"/>
    <w:rsid w:val="00086891"/>
    <w:rsid w:val="000E6DD8"/>
    <w:rsid w:val="00100E9B"/>
    <w:rsid w:val="00131349"/>
    <w:rsid w:val="00147330"/>
    <w:rsid w:val="001D5EC5"/>
    <w:rsid w:val="002046D8"/>
    <w:rsid w:val="00204708"/>
    <w:rsid w:val="00245EAD"/>
    <w:rsid w:val="002A66E8"/>
    <w:rsid w:val="002C36F8"/>
    <w:rsid w:val="002E2805"/>
    <w:rsid w:val="002F2902"/>
    <w:rsid w:val="003348F8"/>
    <w:rsid w:val="00344EF0"/>
    <w:rsid w:val="00374990"/>
    <w:rsid w:val="00393F32"/>
    <w:rsid w:val="003D15C0"/>
    <w:rsid w:val="003D7E27"/>
    <w:rsid w:val="00450EA2"/>
    <w:rsid w:val="00453977"/>
    <w:rsid w:val="004A0C1E"/>
    <w:rsid w:val="004F5B94"/>
    <w:rsid w:val="00521AE4"/>
    <w:rsid w:val="00523DA1"/>
    <w:rsid w:val="005A2D5A"/>
    <w:rsid w:val="00646117"/>
    <w:rsid w:val="006E3F6B"/>
    <w:rsid w:val="00760A4C"/>
    <w:rsid w:val="007873D3"/>
    <w:rsid w:val="00794931"/>
    <w:rsid w:val="00803F4A"/>
    <w:rsid w:val="008437FE"/>
    <w:rsid w:val="00890664"/>
    <w:rsid w:val="008A1D0E"/>
    <w:rsid w:val="008A2D5B"/>
    <w:rsid w:val="008E7614"/>
    <w:rsid w:val="0090381D"/>
    <w:rsid w:val="00934CC5"/>
    <w:rsid w:val="009852C4"/>
    <w:rsid w:val="009A7932"/>
    <w:rsid w:val="009C0271"/>
    <w:rsid w:val="009E48D2"/>
    <w:rsid w:val="009E6F9B"/>
    <w:rsid w:val="00A013F8"/>
    <w:rsid w:val="00A04FFC"/>
    <w:rsid w:val="00A82450"/>
    <w:rsid w:val="00AE110D"/>
    <w:rsid w:val="00AF5F1E"/>
    <w:rsid w:val="00B30735"/>
    <w:rsid w:val="00B40670"/>
    <w:rsid w:val="00B44F81"/>
    <w:rsid w:val="00B90983"/>
    <w:rsid w:val="00B91E3E"/>
    <w:rsid w:val="00BB0861"/>
    <w:rsid w:val="00BF4E61"/>
    <w:rsid w:val="00C0403A"/>
    <w:rsid w:val="00C05F51"/>
    <w:rsid w:val="00C348E8"/>
    <w:rsid w:val="00C76922"/>
    <w:rsid w:val="00CA11FF"/>
    <w:rsid w:val="00CC01BA"/>
    <w:rsid w:val="00CE41DB"/>
    <w:rsid w:val="00CE438B"/>
    <w:rsid w:val="00CF4B3E"/>
    <w:rsid w:val="00D762EA"/>
    <w:rsid w:val="00D77823"/>
    <w:rsid w:val="00D84D13"/>
    <w:rsid w:val="00D8615A"/>
    <w:rsid w:val="00DC1AC2"/>
    <w:rsid w:val="00E2184A"/>
    <w:rsid w:val="00E8698D"/>
    <w:rsid w:val="00EC1FBF"/>
    <w:rsid w:val="00F20210"/>
    <w:rsid w:val="00F3420E"/>
    <w:rsid w:val="00F54F58"/>
    <w:rsid w:val="00F6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A62A80-51CA-43A9-AF90-C0A5AB1C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1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949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49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493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49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493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93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698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698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698D"/>
    <w:rPr>
      <w:vertAlign w:val="superscript"/>
    </w:rPr>
  </w:style>
  <w:style w:type="paragraph" w:customStyle="1" w:styleId="Default">
    <w:name w:val="Default"/>
    <w:rsid w:val="00D861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07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7469"/>
  </w:style>
  <w:style w:type="paragraph" w:styleId="Stopka">
    <w:name w:val="footer"/>
    <w:basedOn w:val="Normalny"/>
    <w:link w:val="StopkaZnak"/>
    <w:uiPriority w:val="99"/>
    <w:unhideWhenUsed/>
    <w:rsid w:val="00007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7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29CB5-9EBE-4BEE-B6F8-24D031C4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8</Pages>
  <Words>3384</Words>
  <Characters>20310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Sylwia Gołąb</cp:lastModifiedBy>
  <cp:revision>59</cp:revision>
  <cp:lastPrinted>2024-11-07T13:35:00Z</cp:lastPrinted>
  <dcterms:created xsi:type="dcterms:W3CDTF">2024-11-06T08:48:00Z</dcterms:created>
  <dcterms:modified xsi:type="dcterms:W3CDTF">2024-11-12T07:06:00Z</dcterms:modified>
</cp:coreProperties>
</file>